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5519D" w14:textId="77777777" w:rsidR="00AC6C9D" w:rsidRDefault="00AC6C9D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14:paraId="6726D101" w14:textId="77777777" w:rsidR="00AC6C9D" w:rsidRDefault="00AC6C9D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14:paraId="354BA316" w14:textId="77777777" w:rsidR="00AC6C9D" w:rsidRDefault="00AC6C9D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14:paraId="4C392FD3" w14:textId="77777777" w:rsidR="00AC6C9D" w:rsidRDefault="00AC6C9D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14:paraId="20D85EBB" w14:textId="77777777" w:rsidR="00AC6C9D" w:rsidRDefault="00AC6C9D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14:paraId="3C21F2A2" w14:textId="77777777" w:rsidR="00AC6C9D" w:rsidRDefault="00AC6C9D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14:paraId="3A12FC0F" w14:textId="77777777" w:rsidR="00AC6C9D" w:rsidRDefault="00AC6C9D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14:paraId="736C540E" w14:textId="77777777" w:rsidR="00AC6C9D" w:rsidRDefault="00AC6C9D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14:paraId="6CA7CF0C" w14:textId="77777777" w:rsidR="00AC6C9D" w:rsidRDefault="00AC6C9D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14:paraId="2F939B65" w14:textId="77777777" w:rsidR="00AC6C9D" w:rsidRDefault="00AC6C9D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14:paraId="03044C12" w14:textId="77777777" w:rsidR="00AC6C9D" w:rsidRDefault="00AC6C9D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14:paraId="6F0B3857" w14:textId="77777777" w:rsidR="00AC6C9D" w:rsidRDefault="003C2E63">
      <w:pPr>
        <w:tabs>
          <w:tab w:val="left" w:pos="720"/>
          <w:tab w:val="left" w:pos="8505"/>
        </w:tabs>
        <w:ind w:left="142"/>
        <w:rPr>
          <w:sz w:val="28"/>
          <w:szCs w:val="28"/>
          <w:lang w:val="ru-RU" w:eastAsia="en-US"/>
        </w:rPr>
      </w:pPr>
      <w:r>
        <w:rPr>
          <w:sz w:val="28"/>
          <w:szCs w:val="28"/>
          <w:lang w:eastAsia="en-US"/>
        </w:rPr>
        <w:t xml:space="preserve">Про розгляд питань </w:t>
      </w:r>
    </w:p>
    <w:p w14:paraId="783C0120" w14:textId="77777777" w:rsidR="00AC6C9D" w:rsidRDefault="003C2E63">
      <w:pPr>
        <w:tabs>
          <w:tab w:val="left" w:pos="720"/>
          <w:tab w:val="left" w:pos="8505"/>
        </w:tabs>
        <w:ind w:left="14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органу опіки та піклування</w:t>
      </w:r>
    </w:p>
    <w:p w14:paraId="336C1F23" w14:textId="77777777" w:rsidR="00AC6C9D" w:rsidRDefault="00AC6C9D">
      <w:pPr>
        <w:tabs>
          <w:tab w:val="left" w:pos="720"/>
          <w:tab w:val="left" w:pos="8505"/>
        </w:tabs>
        <w:spacing w:line="252" w:lineRule="auto"/>
        <w:ind w:left="142" w:right="-2"/>
        <w:jc w:val="both"/>
        <w:rPr>
          <w:sz w:val="28"/>
          <w:szCs w:val="28"/>
          <w:lang w:eastAsia="en-US"/>
        </w:rPr>
      </w:pPr>
    </w:p>
    <w:p w14:paraId="0822885F" w14:textId="77777777" w:rsidR="00AC6C9D" w:rsidRDefault="00AC6C9D">
      <w:pPr>
        <w:tabs>
          <w:tab w:val="left" w:pos="720"/>
          <w:tab w:val="left" w:pos="8505"/>
        </w:tabs>
        <w:spacing w:line="252" w:lineRule="auto"/>
        <w:ind w:left="142" w:right="-2"/>
        <w:jc w:val="both"/>
        <w:rPr>
          <w:sz w:val="28"/>
          <w:szCs w:val="28"/>
          <w:lang w:eastAsia="en-US"/>
        </w:rPr>
      </w:pPr>
    </w:p>
    <w:p w14:paraId="049A60B6" w14:textId="77777777" w:rsidR="00AC6C9D" w:rsidRDefault="003C2E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статтею 3 Конвенції ООН про права дитини,</w:t>
      </w:r>
      <w:r>
        <w:rPr>
          <w:sz w:val="28"/>
          <w:szCs w:val="28"/>
        </w:rPr>
        <w:t xml:space="preserve"> ст. 8 </w:t>
      </w:r>
      <w:hyperlink r:id="rId5" w:tgtFrame="_blank" w:history="1">
        <w:r>
          <w:rPr>
            <w:rStyle w:val="a5"/>
            <w:color w:val="auto"/>
            <w:sz w:val="28"/>
            <w:szCs w:val="28"/>
            <w:u w:val="none"/>
          </w:rPr>
          <w:t>Конвенції про захист прав людини і основоположних свобод</w:t>
        </w:r>
      </w:hyperlink>
      <w:r>
        <w:rPr>
          <w:sz w:val="28"/>
          <w:szCs w:val="28"/>
        </w:rPr>
        <w:t xml:space="preserve">, статтею 47 Конституції України, статтями 19, 122, </w:t>
      </w:r>
      <w:r>
        <w:rPr>
          <w:sz w:val="28"/>
          <w:szCs w:val="28"/>
          <w:lang w:eastAsia="ru-RU"/>
        </w:rPr>
        <w:t xml:space="preserve">141, 147, 150, 155, 157, 164, 166, 171 </w:t>
      </w:r>
      <w:r>
        <w:rPr>
          <w:sz w:val="28"/>
          <w:szCs w:val="28"/>
        </w:rPr>
        <w:t>Сімейного Кодексу України, статтями 29, 56 Цивільного кодексу України, статтею 34 Закону України «Про місц</w:t>
      </w:r>
      <w:r>
        <w:rPr>
          <w:sz w:val="28"/>
          <w:szCs w:val="28"/>
        </w:rPr>
        <w:t>еве самоврядування в Україні», Законом України «Про охорону дитинства»,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Правилами державної реєстраці</w:t>
      </w:r>
      <w:r>
        <w:rPr>
          <w:sz w:val="28"/>
          <w:szCs w:val="28"/>
        </w:rPr>
        <w:t xml:space="preserve">ї актів цивільного стану в Україні, затверджених наказом міністерства юстиції України від 18.10.2000 року, Ухвалою </w:t>
      </w:r>
      <w:proofErr w:type="spellStart"/>
      <w:r>
        <w:rPr>
          <w:sz w:val="28"/>
          <w:szCs w:val="28"/>
        </w:rPr>
        <w:t>Тлумацького</w:t>
      </w:r>
      <w:proofErr w:type="spellEnd"/>
      <w:r>
        <w:rPr>
          <w:sz w:val="28"/>
          <w:szCs w:val="28"/>
        </w:rPr>
        <w:t xml:space="preserve"> районного суду Івано-Франківської області від 03.06.2024 року (справа </w:t>
      </w:r>
      <w:r>
        <w:rPr>
          <w:sz w:val="28"/>
          <w:szCs w:val="28"/>
        </w:rPr>
        <w:t>-</w:t>
      </w:r>
      <w:r>
        <w:rPr>
          <w:sz w:val="28"/>
          <w:szCs w:val="28"/>
        </w:rPr>
        <w:t>, провадження №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Богородчанського</w:t>
      </w:r>
      <w:proofErr w:type="spellEnd"/>
      <w:r>
        <w:rPr>
          <w:sz w:val="28"/>
          <w:szCs w:val="28"/>
        </w:rPr>
        <w:t xml:space="preserve"> районного суду Івано-Ф</w:t>
      </w:r>
      <w:r>
        <w:rPr>
          <w:sz w:val="28"/>
          <w:szCs w:val="28"/>
        </w:rPr>
        <w:t>ранківської області від 15.07.2024 року (справа №</w:t>
      </w:r>
      <w:r>
        <w:rPr>
          <w:sz w:val="28"/>
          <w:szCs w:val="28"/>
        </w:rPr>
        <w:t>-</w:t>
      </w:r>
      <w:r>
        <w:rPr>
          <w:sz w:val="28"/>
          <w:szCs w:val="28"/>
        </w:rPr>
        <w:t>, провадження №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) ухвалою </w:t>
      </w:r>
      <w:r>
        <w:rPr>
          <w:rFonts w:eastAsia="Calibri"/>
          <w:sz w:val="28"/>
          <w:szCs w:val="28"/>
        </w:rPr>
        <w:t xml:space="preserve">Галицького районного суду Івано-Франківської області від 01.05.2024 року (справа № </w:t>
      </w:r>
      <w:r>
        <w:rPr>
          <w:sz w:val="28"/>
          <w:szCs w:val="28"/>
          <w:lang w:eastAsia="ru-RU"/>
        </w:rPr>
        <w:t>-</w:t>
      </w:r>
      <w:r>
        <w:rPr>
          <w:rFonts w:eastAsia="Calibri"/>
          <w:sz w:val="28"/>
          <w:szCs w:val="28"/>
        </w:rPr>
        <w:t>,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провадження № </w:t>
      </w:r>
      <w:r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), </w:t>
      </w:r>
      <w:r>
        <w:rPr>
          <w:sz w:val="28"/>
          <w:szCs w:val="28"/>
        </w:rPr>
        <w:t xml:space="preserve">ухвалою </w:t>
      </w:r>
      <w:r>
        <w:rPr>
          <w:rFonts w:eastAsia="Calibri"/>
          <w:sz w:val="28"/>
          <w:szCs w:val="28"/>
        </w:rPr>
        <w:t>Івано-Франківського міського суду Івано-Франківської області від 24.</w:t>
      </w:r>
      <w:r>
        <w:rPr>
          <w:rFonts w:eastAsia="Calibri"/>
          <w:sz w:val="28"/>
          <w:szCs w:val="28"/>
        </w:rPr>
        <w:t xml:space="preserve">05.2024 року (справа № </w:t>
      </w:r>
      <w:r>
        <w:rPr>
          <w:sz w:val="28"/>
          <w:szCs w:val="28"/>
          <w:lang w:eastAsia="ru-RU"/>
        </w:rPr>
        <w:t>-</w:t>
      </w:r>
      <w:r>
        <w:rPr>
          <w:rFonts w:eastAsia="Calibri"/>
          <w:sz w:val="28"/>
          <w:szCs w:val="28"/>
        </w:rPr>
        <w:t>,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провадження № </w:t>
      </w:r>
      <w:r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),  </w:t>
      </w:r>
      <w:r>
        <w:rPr>
          <w:sz w:val="28"/>
          <w:szCs w:val="28"/>
        </w:rPr>
        <w:t xml:space="preserve">ухвалою </w:t>
      </w:r>
      <w:r>
        <w:rPr>
          <w:rFonts w:eastAsia="Calibri"/>
          <w:sz w:val="28"/>
          <w:szCs w:val="28"/>
        </w:rPr>
        <w:t xml:space="preserve">Івано-Франківського міського суду Івано-Франківської області від 28.02.2024 року (справа № </w:t>
      </w:r>
      <w:r>
        <w:rPr>
          <w:sz w:val="28"/>
          <w:szCs w:val="28"/>
          <w:lang w:eastAsia="ru-RU"/>
        </w:rPr>
        <w:t>-</w:t>
      </w:r>
      <w:r>
        <w:rPr>
          <w:rFonts w:eastAsia="Calibri"/>
          <w:sz w:val="28"/>
          <w:szCs w:val="28"/>
        </w:rPr>
        <w:t xml:space="preserve">, провадження № </w:t>
      </w:r>
      <w:r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>),</w:t>
      </w:r>
      <w:r>
        <w:rPr>
          <w:sz w:val="28"/>
          <w:szCs w:val="28"/>
        </w:rPr>
        <w:t xml:space="preserve"> ухвалою </w:t>
      </w:r>
      <w:r>
        <w:rPr>
          <w:rFonts w:eastAsia="Calibri"/>
          <w:sz w:val="28"/>
          <w:szCs w:val="28"/>
        </w:rPr>
        <w:t>Тисменицького районного суду Івано-Франківської області від 22.05.2024 року (справа</w:t>
      </w:r>
      <w:r>
        <w:rPr>
          <w:rFonts w:eastAsia="Calibri"/>
          <w:sz w:val="28"/>
          <w:szCs w:val="28"/>
        </w:rPr>
        <w:t xml:space="preserve"> № </w:t>
      </w:r>
      <w:r>
        <w:rPr>
          <w:sz w:val="28"/>
          <w:szCs w:val="28"/>
          <w:lang w:eastAsia="ru-RU"/>
        </w:rPr>
        <w:t>-</w:t>
      </w:r>
      <w:r>
        <w:rPr>
          <w:rFonts w:eastAsia="Calibri"/>
          <w:sz w:val="28"/>
          <w:szCs w:val="28"/>
        </w:rPr>
        <w:t xml:space="preserve">, провадження № </w:t>
      </w:r>
      <w:r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),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Івано-Франківської міської ради від 29.10.2020 р. №1137 «Про затвердження Положення про комісію з питань захисту прав дитини виконавчого комітету міської ради», беручи до уваги рекомендації комісії з </w:t>
      </w:r>
      <w:r>
        <w:rPr>
          <w:sz w:val="28"/>
          <w:szCs w:val="28"/>
        </w:rPr>
        <w:t>питань захисту прав дитини від 18.11.2024 року та 11.12.2024 року з метою забезпечення реалізації прав, свобод та законних інтересів дитини, виконавчий комітет Івано-Франківської міської ради</w:t>
      </w:r>
    </w:p>
    <w:p w14:paraId="7DD7AB9E" w14:textId="77777777" w:rsidR="00AC6C9D" w:rsidRDefault="003C2E63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14:paraId="3539ED28" w14:textId="77777777" w:rsidR="00AC6C9D" w:rsidRDefault="003C2E63">
      <w:pPr>
        <w:pStyle w:val="a6"/>
        <w:numPr>
          <w:ilvl w:val="0"/>
          <w:numId w:val="1"/>
        </w:numPr>
        <w:tabs>
          <w:tab w:val="left" w:pos="567"/>
        </w:tabs>
        <w:ind w:left="0" w:hanging="1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Надати </w:t>
      </w:r>
      <w:proofErr w:type="spellStart"/>
      <w:r>
        <w:rPr>
          <w:bCs/>
          <w:sz w:val="28"/>
          <w:szCs w:val="28"/>
        </w:rPr>
        <w:t>Тлумацькому</w:t>
      </w:r>
      <w:proofErr w:type="spellEnd"/>
      <w:r>
        <w:rPr>
          <w:bCs/>
          <w:sz w:val="28"/>
          <w:szCs w:val="28"/>
        </w:rPr>
        <w:t xml:space="preserve"> районному суду Івано-Франківської області висновок у справі про позбавлення батьківських прав 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відносно дитини 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року народження (додаток 1).</w:t>
      </w:r>
    </w:p>
    <w:p w14:paraId="07FA3C86" w14:textId="77777777" w:rsidR="00AC6C9D" w:rsidRDefault="003C2E63">
      <w:pPr>
        <w:pStyle w:val="a6"/>
        <w:numPr>
          <w:ilvl w:val="0"/>
          <w:numId w:val="1"/>
        </w:numPr>
        <w:tabs>
          <w:tab w:val="left" w:pos="567"/>
        </w:tabs>
        <w:ind w:left="0" w:hanging="1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Надати </w:t>
      </w:r>
      <w:proofErr w:type="spellStart"/>
      <w:r>
        <w:rPr>
          <w:bCs/>
          <w:sz w:val="28"/>
          <w:szCs w:val="28"/>
        </w:rPr>
        <w:t>Богородчанському</w:t>
      </w:r>
      <w:proofErr w:type="spellEnd"/>
      <w:r>
        <w:rPr>
          <w:bCs/>
          <w:sz w:val="28"/>
          <w:szCs w:val="28"/>
        </w:rPr>
        <w:t xml:space="preserve"> районному суду Івано-Франківської області висновок у справі про поз</w:t>
      </w:r>
      <w:r>
        <w:rPr>
          <w:bCs/>
          <w:sz w:val="28"/>
          <w:szCs w:val="28"/>
        </w:rPr>
        <w:t xml:space="preserve">бавлення батьківських прав 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відносно дитини 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року народження (додаток 2).</w:t>
      </w:r>
    </w:p>
    <w:p w14:paraId="72BE3635" w14:textId="77777777" w:rsidR="00AC6C9D" w:rsidRDefault="003C2E63">
      <w:pPr>
        <w:pStyle w:val="a6"/>
        <w:numPr>
          <w:ilvl w:val="0"/>
          <w:numId w:val="1"/>
        </w:numPr>
        <w:tabs>
          <w:tab w:val="left" w:pos="567"/>
        </w:tabs>
        <w:ind w:left="0" w:hanging="1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Надати Галицькому районному суду Івано-Франківської області висновок у справі про позбавлення батьківських прав 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відносно дитини 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року народження (додаток 3).</w:t>
      </w:r>
    </w:p>
    <w:p w14:paraId="10B8874D" w14:textId="77777777" w:rsidR="00AC6C9D" w:rsidRDefault="003C2E63">
      <w:pPr>
        <w:pStyle w:val="a6"/>
        <w:numPr>
          <w:ilvl w:val="0"/>
          <w:numId w:val="1"/>
        </w:numPr>
        <w:tabs>
          <w:tab w:val="left" w:pos="567"/>
        </w:tabs>
        <w:ind w:left="0" w:hanging="11"/>
        <w:jc w:val="both"/>
        <w:rPr>
          <w:bCs/>
          <w:color w:val="FF0000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Надати Івано-</w:t>
      </w:r>
      <w:r>
        <w:rPr>
          <w:bCs/>
          <w:color w:val="000000" w:themeColor="text1"/>
          <w:sz w:val="28"/>
          <w:szCs w:val="28"/>
        </w:rPr>
        <w:t xml:space="preserve">Франківському міському суду Івано-Франківської області висновок у справі про позбавлення батьківських прав </w:t>
      </w:r>
      <w:r>
        <w:rPr>
          <w:bCs/>
          <w:color w:val="000000" w:themeColor="text1"/>
          <w:sz w:val="28"/>
          <w:szCs w:val="28"/>
        </w:rPr>
        <w:t>-</w:t>
      </w:r>
      <w:r>
        <w:rPr>
          <w:bCs/>
          <w:color w:val="000000" w:themeColor="text1"/>
          <w:sz w:val="28"/>
          <w:szCs w:val="28"/>
        </w:rPr>
        <w:t xml:space="preserve"> відносно дитини </w:t>
      </w:r>
      <w:r>
        <w:rPr>
          <w:bCs/>
          <w:color w:val="000000" w:themeColor="text1"/>
          <w:sz w:val="28"/>
          <w:szCs w:val="28"/>
        </w:rPr>
        <w:t>-</w:t>
      </w:r>
      <w:r>
        <w:rPr>
          <w:bCs/>
          <w:color w:val="000000" w:themeColor="text1"/>
          <w:sz w:val="28"/>
          <w:szCs w:val="28"/>
        </w:rPr>
        <w:t xml:space="preserve">, </w:t>
      </w:r>
      <w:r>
        <w:rPr>
          <w:bCs/>
          <w:color w:val="000000" w:themeColor="text1"/>
          <w:sz w:val="28"/>
          <w:szCs w:val="28"/>
        </w:rPr>
        <w:t>-</w:t>
      </w:r>
      <w:r>
        <w:rPr>
          <w:bCs/>
          <w:color w:val="000000" w:themeColor="text1"/>
          <w:sz w:val="28"/>
          <w:szCs w:val="28"/>
        </w:rPr>
        <w:t xml:space="preserve"> року народження (додаток 4).</w:t>
      </w:r>
    </w:p>
    <w:p w14:paraId="7F23E974" w14:textId="77777777" w:rsidR="00AC6C9D" w:rsidRDefault="003C2E63">
      <w:pPr>
        <w:pStyle w:val="a6"/>
        <w:numPr>
          <w:ilvl w:val="0"/>
          <w:numId w:val="1"/>
        </w:numPr>
        <w:tabs>
          <w:tab w:val="left" w:pos="567"/>
        </w:tabs>
        <w:ind w:left="0" w:hanging="11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Надати Івано-Франківському міському суду Івано-Франківської області висновок у справі про позбавлення батьківських прав </w:t>
      </w:r>
      <w:r>
        <w:rPr>
          <w:bCs/>
          <w:color w:val="000000" w:themeColor="text1"/>
          <w:sz w:val="28"/>
          <w:szCs w:val="28"/>
        </w:rPr>
        <w:t>-</w:t>
      </w:r>
      <w:r>
        <w:rPr>
          <w:bCs/>
          <w:color w:val="000000" w:themeColor="text1"/>
          <w:sz w:val="28"/>
          <w:szCs w:val="28"/>
        </w:rPr>
        <w:t xml:space="preserve"> відносно дитини </w:t>
      </w:r>
      <w:r>
        <w:rPr>
          <w:bCs/>
          <w:color w:val="000000" w:themeColor="text1"/>
          <w:sz w:val="28"/>
          <w:szCs w:val="28"/>
        </w:rPr>
        <w:t>-</w:t>
      </w:r>
      <w:r>
        <w:rPr>
          <w:bCs/>
          <w:color w:val="000000" w:themeColor="text1"/>
          <w:sz w:val="28"/>
          <w:szCs w:val="28"/>
        </w:rPr>
        <w:t xml:space="preserve">, </w:t>
      </w:r>
      <w:r>
        <w:rPr>
          <w:bCs/>
          <w:color w:val="000000" w:themeColor="text1"/>
          <w:sz w:val="28"/>
          <w:szCs w:val="28"/>
        </w:rPr>
        <w:t>-</w:t>
      </w:r>
      <w:r>
        <w:rPr>
          <w:bCs/>
          <w:color w:val="000000" w:themeColor="text1"/>
          <w:sz w:val="28"/>
          <w:szCs w:val="28"/>
        </w:rPr>
        <w:t xml:space="preserve"> року народження (додаток 5).</w:t>
      </w:r>
    </w:p>
    <w:p w14:paraId="40C9F2F2" w14:textId="77777777" w:rsidR="00AC6C9D" w:rsidRDefault="003C2E63">
      <w:pPr>
        <w:pStyle w:val="a6"/>
        <w:numPr>
          <w:ilvl w:val="0"/>
          <w:numId w:val="1"/>
        </w:numPr>
        <w:tabs>
          <w:tab w:val="left" w:pos="567"/>
        </w:tabs>
        <w:ind w:left="0" w:hanging="11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Надати Тисменицькому районному суду Івано-Франківської області висновок у справі про</w:t>
      </w:r>
      <w:r>
        <w:rPr>
          <w:bCs/>
          <w:color w:val="000000" w:themeColor="text1"/>
          <w:sz w:val="28"/>
          <w:szCs w:val="28"/>
        </w:rPr>
        <w:t xml:space="preserve"> визначення місця проживання дитини </w:t>
      </w:r>
      <w:r>
        <w:rPr>
          <w:bCs/>
          <w:color w:val="000000" w:themeColor="text1"/>
          <w:sz w:val="28"/>
          <w:szCs w:val="28"/>
        </w:rPr>
        <w:t>-</w:t>
      </w:r>
      <w:r>
        <w:rPr>
          <w:bCs/>
          <w:color w:val="000000" w:themeColor="text1"/>
          <w:sz w:val="28"/>
          <w:szCs w:val="28"/>
        </w:rPr>
        <w:t xml:space="preserve">, </w:t>
      </w:r>
      <w:r>
        <w:rPr>
          <w:bCs/>
          <w:color w:val="000000" w:themeColor="text1"/>
          <w:sz w:val="28"/>
          <w:szCs w:val="28"/>
        </w:rPr>
        <w:t>-</w:t>
      </w:r>
      <w:r>
        <w:rPr>
          <w:bCs/>
          <w:color w:val="000000" w:themeColor="text1"/>
          <w:sz w:val="28"/>
          <w:szCs w:val="28"/>
        </w:rPr>
        <w:t xml:space="preserve"> року народження (додаток 6).</w:t>
      </w:r>
    </w:p>
    <w:p w14:paraId="3C1AF7F5" w14:textId="77777777" w:rsidR="00AC6C9D" w:rsidRDefault="003C2E63">
      <w:pPr>
        <w:pStyle w:val="a6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color w:val="FF0000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Визначити місце проживання малолітнього </w:t>
      </w:r>
      <w:r>
        <w:rPr>
          <w:rFonts w:eastAsia="Calibri"/>
          <w:color w:val="000000" w:themeColor="text1"/>
          <w:sz w:val="28"/>
          <w:szCs w:val="28"/>
        </w:rPr>
        <w:t>-</w:t>
      </w:r>
      <w:r>
        <w:rPr>
          <w:rFonts w:eastAsia="Calibri"/>
          <w:color w:val="000000" w:themeColor="text1"/>
          <w:sz w:val="28"/>
          <w:szCs w:val="28"/>
        </w:rPr>
        <w:t xml:space="preserve">, </w:t>
      </w:r>
      <w:r>
        <w:rPr>
          <w:rFonts w:eastAsia="Calibri"/>
          <w:color w:val="000000" w:themeColor="text1"/>
          <w:sz w:val="28"/>
          <w:szCs w:val="28"/>
        </w:rPr>
        <w:t>-</w:t>
      </w:r>
      <w:r>
        <w:rPr>
          <w:rFonts w:eastAsia="Calibri"/>
          <w:color w:val="000000" w:themeColor="text1"/>
          <w:sz w:val="28"/>
          <w:szCs w:val="28"/>
        </w:rPr>
        <w:t xml:space="preserve"> року народження, з матір</w:t>
      </w:r>
      <w:r>
        <w:rPr>
          <w:rFonts w:eastAsia="Calibri"/>
          <w:color w:val="000000" w:themeColor="text1"/>
          <w:sz w:val="28"/>
          <w:szCs w:val="28"/>
          <w:lang w:val="ru-RU"/>
        </w:rPr>
        <w:t>’</w:t>
      </w:r>
      <w:r>
        <w:rPr>
          <w:rFonts w:eastAsia="Calibri"/>
          <w:color w:val="000000" w:themeColor="text1"/>
          <w:sz w:val="28"/>
          <w:szCs w:val="28"/>
        </w:rPr>
        <w:t xml:space="preserve">ю </w:t>
      </w:r>
      <w:r>
        <w:rPr>
          <w:rFonts w:eastAsia="Calibri"/>
          <w:color w:val="000000" w:themeColor="text1"/>
          <w:sz w:val="28"/>
          <w:szCs w:val="28"/>
        </w:rPr>
        <w:t>-</w:t>
      </w:r>
      <w:r>
        <w:rPr>
          <w:rFonts w:eastAsia="Calibri"/>
          <w:color w:val="000000" w:themeColor="text1"/>
          <w:sz w:val="28"/>
          <w:szCs w:val="28"/>
        </w:rPr>
        <w:t>.</w:t>
      </w:r>
    </w:p>
    <w:p w14:paraId="4D6708AC" w14:textId="77777777" w:rsidR="00AC6C9D" w:rsidRDefault="003C2E63">
      <w:pPr>
        <w:pStyle w:val="a6"/>
        <w:numPr>
          <w:ilvl w:val="0"/>
          <w:numId w:val="1"/>
        </w:numPr>
        <w:tabs>
          <w:tab w:val="left" w:pos="567"/>
        </w:tabs>
        <w:ind w:left="0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Надати дозвіл матері 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без згоди батька 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на реєстрацію новонародженої дитини – хлопчика, 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та присвоєння йому прізвища «</w:t>
      </w:r>
      <w:r>
        <w:rPr>
          <w:sz w:val="28"/>
          <w:szCs w:val="28"/>
        </w:rPr>
        <w:t>-</w:t>
      </w:r>
      <w:r>
        <w:rPr>
          <w:sz w:val="28"/>
          <w:szCs w:val="28"/>
        </w:rPr>
        <w:t>», імені «</w:t>
      </w:r>
      <w:r>
        <w:rPr>
          <w:sz w:val="28"/>
          <w:szCs w:val="28"/>
        </w:rPr>
        <w:t>-</w:t>
      </w:r>
      <w:r>
        <w:rPr>
          <w:sz w:val="28"/>
          <w:szCs w:val="28"/>
        </w:rPr>
        <w:t>».</w:t>
      </w:r>
    </w:p>
    <w:p w14:paraId="0CDEB085" w14:textId="77777777" w:rsidR="00AC6C9D" w:rsidRDefault="003C2E63">
      <w:pPr>
        <w:pStyle w:val="a6"/>
        <w:numPr>
          <w:ilvl w:val="0"/>
          <w:numId w:val="1"/>
        </w:numPr>
        <w:tabs>
          <w:tab w:val="left" w:pos="567"/>
        </w:tabs>
        <w:ind w:left="0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Надати дозвіл матері 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без згоди батька </w:t>
      </w: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на реєстрацію місця проживання дитини 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м.Івано</w:t>
      </w:r>
      <w:proofErr w:type="spellEnd"/>
      <w:r>
        <w:rPr>
          <w:sz w:val="28"/>
          <w:szCs w:val="28"/>
        </w:rPr>
        <w:t>-Франківськ, вул.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t>-</w:t>
      </w:r>
      <w:r>
        <w:rPr>
          <w:sz w:val="28"/>
          <w:szCs w:val="28"/>
        </w:rPr>
        <w:t>.</w:t>
      </w:r>
    </w:p>
    <w:p w14:paraId="372D2953" w14:textId="77777777" w:rsidR="00AC6C9D" w:rsidRDefault="003C2E63">
      <w:pPr>
        <w:pStyle w:val="a6"/>
        <w:numPr>
          <w:ilvl w:val="0"/>
          <w:numId w:val="1"/>
        </w:numPr>
        <w:tabs>
          <w:tab w:val="left" w:pos="567"/>
        </w:tabs>
        <w:ind w:left="0" w:hanging="11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Внести</w:t>
      </w:r>
      <w:proofErr w:type="spellEnd"/>
      <w:r>
        <w:rPr>
          <w:rFonts w:eastAsia="Calibri"/>
          <w:sz w:val="28"/>
          <w:szCs w:val="28"/>
        </w:rPr>
        <w:t xml:space="preserve"> зміни у п.</w:t>
      </w:r>
      <w:r>
        <w:rPr>
          <w:rFonts w:eastAsia="Calibri"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 xml:space="preserve">рішення виконавчого комітету Івано-Франківської міської ради від </w:t>
      </w:r>
      <w:r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року №</w:t>
      </w:r>
      <w:r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, виклавши його в такій редакції «Відмовити у наданні висновку щодо визначення місця проживання неповнолітньої </w:t>
      </w:r>
      <w:r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року народження, у зв’язку досягненням дитиною чотирнадцятирічного</w:t>
      </w:r>
      <w:r>
        <w:rPr>
          <w:rFonts w:eastAsia="Calibri"/>
          <w:sz w:val="28"/>
          <w:szCs w:val="28"/>
        </w:rPr>
        <w:t xml:space="preserve"> віку».</w:t>
      </w:r>
    </w:p>
    <w:p w14:paraId="1A4FAF6D" w14:textId="77777777" w:rsidR="00AC6C9D" w:rsidRDefault="003C2E63">
      <w:pPr>
        <w:pStyle w:val="a6"/>
        <w:numPr>
          <w:ilvl w:val="0"/>
          <w:numId w:val="1"/>
        </w:numPr>
        <w:ind w:left="0" w:hanging="11"/>
        <w:jc w:val="both"/>
        <w:rPr>
          <w:bCs/>
          <w:sz w:val="28"/>
          <w:szCs w:val="28"/>
        </w:rPr>
      </w:pPr>
      <w:r>
        <w:rPr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14:paraId="56464271" w14:textId="77777777" w:rsidR="00AC6C9D" w:rsidRDefault="003C2E63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                                                               Руслан МАРЦІНКІВ</w:t>
      </w:r>
    </w:p>
    <w:sectPr w:rsidR="00AC6C9D">
      <w:pgSz w:w="11906" w:h="16838"/>
      <w:pgMar w:top="1134" w:right="851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0926"/>
    <w:multiLevelType w:val="multilevel"/>
    <w:tmpl w:val="534A0926"/>
    <w:lvl w:ilvl="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B63"/>
    <w:rsid w:val="00013A27"/>
    <w:rsid w:val="00035A0F"/>
    <w:rsid w:val="000E733F"/>
    <w:rsid w:val="001073E0"/>
    <w:rsid w:val="00366F67"/>
    <w:rsid w:val="003A1FDB"/>
    <w:rsid w:val="003C2E63"/>
    <w:rsid w:val="004011DC"/>
    <w:rsid w:val="0048773F"/>
    <w:rsid w:val="004D5BF8"/>
    <w:rsid w:val="005C6F3B"/>
    <w:rsid w:val="007634E1"/>
    <w:rsid w:val="00885966"/>
    <w:rsid w:val="00923C6F"/>
    <w:rsid w:val="009D77F0"/>
    <w:rsid w:val="009E6C29"/>
    <w:rsid w:val="00A46B63"/>
    <w:rsid w:val="00AC6C9D"/>
    <w:rsid w:val="00D6536B"/>
    <w:rsid w:val="00DF2A78"/>
    <w:rsid w:val="00EE6B64"/>
    <w:rsid w:val="00EF3908"/>
    <w:rsid w:val="02391017"/>
    <w:rsid w:val="208B77DF"/>
    <w:rsid w:val="260E1F06"/>
    <w:rsid w:val="5166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51D26B-BFCB-4DA0-9198-8B9D03A6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ps.ligazakon.net/document/MU50K02U?utm_source=biz.ligazakon.net&amp;utm_medium=news&amp;utm_content=bizpress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2442</Words>
  <Characters>1392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2024-12-18T08:58:00Z</cp:lastPrinted>
  <dcterms:created xsi:type="dcterms:W3CDTF">2025-01-14T13:22:00Z</dcterms:created>
  <dcterms:modified xsi:type="dcterms:W3CDTF">2025-01-14T13:22:00Z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FDFACA099FB24DB697A9DDDA32386351_13</vt:lpwstr>
  </property>
</Properties>
</file>