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74E72" w14:textId="77777777" w:rsidR="001C22F0" w:rsidRDefault="001C22F0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14:paraId="588EF011" w14:textId="77777777" w:rsidR="001C22F0" w:rsidRDefault="001C22F0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60EB24DF" w14:textId="77777777" w:rsidR="001C22F0" w:rsidRDefault="001C22F0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00B54C79" w14:textId="77777777" w:rsidR="001C22F0" w:rsidRDefault="001C22F0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3CDA5060" w14:textId="77777777" w:rsidR="001C22F0" w:rsidRDefault="001C22F0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6DB8DDF7" w14:textId="77777777" w:rsidR="001C22F0" w:rsidRDefault="001C22F0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5164F9CE" w14:textId="77777777" w:rsidR="001C22F0" w:rsidRDefault="001C22F0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04496320" w14:textId="77777777" w:rsidR="001C22F0" w:rsidRDefault="001C22F0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68C8038C" w14:textId="77777777" w:rsidR="001C22F0" w:rsidRDefault="001C22F0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6E8524FE" w14:textId="77777777" w:rsidR="001C22F0" w:rsidRDefault="001C22F0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14:paraId="09789134" w14:textId="77777777" w:rsidR="001C22F0" w:rsidRDefault="00B00E80">
      <w:pPr>
        <w:tabs>
          <w:tab w:val="left" w:pos="720"/>
          <w:tab w:val="left" w:pos="8505"/>
        </w:tabs>
        <w:rPr>
          <w:sz w:val="28"/>
          <w:szCs w:val="28"/>
          <w:lang w:val="ru-RU" w:eastAsia="en-US"/>
        </w:rPr>
      </w:pPr>
      <w:r>
        <w:rPr>
          <w:sz w:val="28"/>
          <w:szCs w:val="28"/>
          <w:lang w:eastAsia="en-US"/>
        </w:rPr>
        <w:t xml:space="preserve">Про розгляд питань </w:t>
      </w:r>
    </w:p>
    <w:p w14:paraId="63F3F8AA" w14:textId="77777777" w:rsidR="001C22F0" w:rsidRDefault="00B00E80">
      <w:pPr>
        <w:tabs>
          <w:tab w:val="left" w:pos="720"/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органу опіки та піклування</w:t>
      </w:r>
    </w:p>
    <w:p w14:paraId="4C39589E" w14:textId="77777777" w:rsidR="001C22F0" w:rsidRDefault="001C22F0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sz w:val="28"/>
          <w:szCs w:val="28"/>
          <w:lang w:eastAsia="en-US"/>
        </w:rPr>
      </w:pPr>
    </w:p>
    <w:p w14:paraId="1FA869CD" w14:textId="77777777" w:rsidR="001C22F0" w:rsidRDefault="00B00E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статтею 3 Конвенції ООН про права дитини,</w:t>
      </w:r>
      <w:r>
        <w:rPr>
          <w:sz w:val="28"/>
          <w:szCs w:val="28"/>
        </w:rPr>
        <w:t xml:space="preserve"> статтею 47 Конституції України, статтями, 19, </w:t>
      </w:r>
      <w:r>
        <w:rPr>
          <w:sz w:val="28"/>
          <w:szCs w:val="28"/>
          <w:lang w:eastAsia="ru-RU"/>
        </w:rPr>
        <w:t xml:space="preserve">141, 150, 155, 157, 158, 159, 164, 166, 171 </w:t>
      </w:r>
      <w:r>
        <w:rPr>
          <w:sz w:val="28"/>
          <w:szCs w:val="28"/>
        </w:rPr>
        <w:t>Сімейного Кодексу України, статтями 29, 56, Цивільного кодексу України, статтею 34 Закону України «Про місцеве самоврядування в Україні», Законом України «Про охорону дитинства», постановою Кабінету Міністрів України від 24 вересня 2008 року № 866 «Питання</w:t>
      </w:r>
      <w:r>
        <w:rPr>
          <w:sz w:val="28"/>
          <w:szCs w:val="28"/>
        </w:rPr>
        <w:t xml:space="preserve"> діяльності органів опіки та піклування, пов'язаної із захистом прав дитини», </w:t>
      </w:r>
      <w:r>
        <w:rPr>
          <w:rFonts w:eastAsia="Calibri"/>
          <w:sz w:val="28"/>
          <w:szCs w:val="28"/>
        </w:rPr>
        <w:t xml:space="preserve">ухвалою Івано-Франківського міського суду Івано-Франківської області від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>), ухвалою Івано-Франківського міського суду Івано-Франківської област</w:t>
      </w:r>
      <w:r>
        <w:rPr>
          <w:rFonts w:eastAsia="Calibri"/>
          <w:sz w:val="28"/>
          <w:szCs w:val="28"/>
        </w:rPr>
        <w:t xml:space="preserve">і від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), ухвалою Івано-Франківського міського суду Івано-Франківської області від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), ухвалою Івано-Франківського міського суду Івано-Франківської області від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>, провадже</w:t>
      </w:r>
      <w:r>
        <w:rPr>
          <w:rFonts w:eastAsia="Calibri"/>
          <w:sz w:val="28"/>
          <w:szCs w:val="28"/>
        </w:rPr>
        <w:t xml:space="preserve">ння №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), ухвалою Івано-Франківського міського суду Івано-Франківської області від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 року (справа № </w:t>
      </w:r>
      <w:r>
        <w:rPr>
          <w:sz w:val="28"/>
          <w:szCs w:val="28"/>
          <w:lang w:eastAsia="ru-RU"/>
        </w:rPr>
        <w:t>-</w:t>
      </w:r>
      <w:r>
        <w:rPr>
          <w:rFonts w:eastAsia="Calibri"/>
          <w:sz w:val="28"/>
          <w:szCs w:val="28"/>
        </w:rPr>
        <w:t xml:space="preserve">, провадження № </w:t>
      </w:r>
      <w:r>
        <w:rPr>
          <w:rFonts w:eastAsia="Calibri"/>
          <w:sz w:val="28"/>
          <w:szCs w:val="28"/>
        </w:rPr>
        <w:t>-</w:t>
      </w:r>
      <w:r>
        <w:rPr>
          <w:rFonts w:eastAsia="Calibri"/>
          <w:sz w:val="28"/>
          <w:szCs w:val="28"/>
        </w:rPr>
        <w:t xml:space="preserve">),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Івано-Франківської міської ради від 29.10.2020 р. №1137 «Про затвердження Положення про комісію з питань </w:t>
      </w:r>
      <w:r>
        <w:rPr>
          <w:sz w:val="28"/>
          <w:szCs w:val="28"/>
        </w:rPr>
        <w:t xml:space="preserve">захисту прав дитини виконавчого комітету міської ради», розглянувши первинні матеріали справ, беручи до уваги рекомендації комісії з питань захисту прав дитини від 19.06.2024 року, з метою забезпечення реалізації прав, свобод та законних інтересів дитини, </w:t>
      </w:r>
      <w:r>
        <w:rPr>
          <w:sz w:val="28"/>
          <w:szCs w:val="28"/>
        </w:rPr>
        <w:t>виконавчий комітет Івано-Франківської міської ради</w:t>
      </w:r>
    </w:p>
    <w:p w14:paraId="2BC429A5" w14:textId="77777777" w:rsidR="001C22F0" w:rsidRDefault="00B00E80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14:paraId="6F68283E" w14:textId="77777777" w:rsidR="001C22F0" w:rsidRDefault="00B00E80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Надати </w:t>
      </w:r>
      <w:r>
        <w:rPr>
          <w:rFonts w:eastAsia="Calibri"/>
          <w:sz w:val="28"/>
          <w:szCs w:val="28"/>
        </w:rPr>
        <w:t>Івано-Франківському міському суду Івано-Франківської області</w:t>
      </w:r>
      <w:r>
        <w:rPr>
          <w:sz w:val="28"/>
          <w:szCs w:val="28"/>
        </w:rPr>
        <w:t xml:space="preserve"> висновок у справі щодо позбавлення батьківських прав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відносно дитини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</w:t>
      </w:r>
      <w:r>
        <w:rPr>
          <w:sz w:val="26"/>
          <w:szCs w:val="26"/>
        </w:rPr>
        <w:t xml:space="preserve"> </w:t>
      </w:r>
      <w:r>
        <w:rPr>
          <w:bCs/>
          <w:sz w:val="28"/>
          <w:szCs w:val="28"/>
        </w:rPr>
        <w:t>(додаток 1).</w:t>
      </w:r>
    </w:p>
    <w:p w14:paraId="722C6867" w14:textId="77777777" w:rsidR="001C22F0" w:rsidRDefault="00B00E80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Надати </w:t>
      </w:r>
      <w:r>
        <w:rPr>
          <w:rFonts w:eastAsia="Calibri"/>
          <w:sz w:val="28"/>
          <w:szCs w:val="28"/>
        </w:rPr>
        <w:t>Івано-Франківському міському суду Івано-Франківської області</w:t>
      </w:r>
      <w:r>
        <w:rPr>
          <w:sz w:val="28"/>
          <w:szCs w:val="28"/>
        </w:rPr>
        <w:t xml:space="preserve"> висновок у справі щодо позбавлення батьківських прав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відносно дитини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</w:t>
      </w:r>
      <w:r>
        <w:rPr>
          <w:sz w:val="26"/>
          <w:szCs w:val="26"/>
        </w:rPr>
        <w:t xml:space="preserve"> </w:t>
      </w:r>
      <w:r>
        <w:rPr>
          <w:bCs/>
          <w:sz w:val="28"/>
          <w:szCs w:val="28"/>
        </w:rPr>
        <w:t>(додаток 2).</w:t>
      </w:r>
    </w:p>
    <w:p w14:paraId="723377D4" w14:textId="77777777" w:rsidR="001C22F0" w:rsidRDefault="00B00E80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3. </w:t>
      </w:r>
      <w:r>
        <w:rPr>
          <w:sz w:val="28"/>
          <w:szCs w:val="28"/>
        </w:rPr>
        <w:t xml:space="preserve">Надати </w:t>
      </w:r>
      <w:r>
        <w:rPr>
          <w:rFonts w:eastAsia="Calibri"/>
          <w:sz w:val="28"/>
          <w:szCs w:val="28"/>
        </w:rPr>
        <w:t>Івано-Франківському міському суду Івано-Франківської області</w:t>
      </w:r>
      <w:r>
        <w:rPr>
          <w:sz w:val="28"/>
          <w:szCs w:val="28"/>
        </w:rPr>
        <w:t xml:space="preserve"> висновок у справі щ</w:t>
      </w:r>
      <w:r>
        <w:rPr>
          <w:sz w:val="28"/>
          <w:szCs w:val="28"/>
        </w:rPr>
        <w:t xml:space="preserve">одо позбавлення батьківських прав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відносно дитини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</w:t>
      </w:r>
      <w:r>
        <w:rPr>
          <w:sz w:val="26"/>
          <w:szCs w:val="26"/>
        </w:rPr>
        <w:t xml:space="preserve"> </w:t>
      </w:r>
      <w:r>
        <w:rPr>
          <w:bCs/>
          <w:sz w:val="28"/>
          <w:szCs w:val="28"/>
        </w:rPr>
        <w:t>(додаток 3).</w:t>
      </w:r>
    </w:p>
    <w:p w14:paraId="744AF7FB" w14:textId="77777777" w:rsidR="001C22F0" w:rsidRDefault="00B00E80">
      <w:pPr>
        <w:spacing w:line="252" w:lineRule="auto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4. </w:t>
      </w:r>
      <w:r>
        <w:rPr>
          <w:sz w:val="28"/>
          <w:szCs w:val="28"/>
        </w:rPr>
        <w:t xml:space="preserve">Надати </w:t>
      </w:r>
      <w:r>
        <w:rPr>
          <w:rFonts w:eastAsia="Calibri"/>
          <w:sz w:val="28"/>
          <w:szCs w:val="28"/>
        </w:rPr>
        <w:t>Івано-Франківському міському суду Івано-Франківської області</w:t>
      </w:r>
      <w:r>
        <w:rPr>
          <w:sz w:val="28"/>
          <w:szCs w:val="28"/>
        </w:rPr>
        <w:t xml:space="preserve"> висновок у справі щодо </w:t>
      </w:r>
      <w:r>
        <w:rPr>
          <w:rFonts w:eastAsia="Calibri"/>
          <w:sz w:val="28"/>
          <w:szCs w:val="28"/>
          <w:lang w:eastAsia="en-US"/>
        </w:rPr>
        <w:t xml:space="preserve">доцільності (недоцільності) виселення з кімнати гуртожитку неповнолітніх </w:t>
      </w: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року народження, </w:t>
      </w: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року народження, та </w:t>
      </w: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року народження</w:t>
      </w:r>
      <w:r>
        <w:rPr>
          <w:sz w:val="26"/>
          <w:szCs w:val="26"/>
        </w:rPr>
        <w:t xml:space="preserve"> </w:t>
      </w:r>
      <w:r>
        <w:rPr>
          <w:bCs/>
          <w:sz w:val="28"/>
          <w:szCs w:val="28"/>
        </w:rPr>
        <w:t>(додаток 4).</w:t>
      </w:r>
    </w:p>
    <w:p w14:paraId="0540CB84" w14:textId="77777777" w:rsidR="001C22F0" w:rsidRDefault="00B00E80">
      <w:pPr>
        <w:tabs>
          <w:tab w:val="left" w:pos="1785"/>
        </w:tabs>
        <w:spacing w:line="252" w:lineRule="auto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</w:rPr>
        <w:t xml:space="preserve">5. </w:t>
      </w:r>
      <w:r>
        <w:rPr>
          <w:sz w:val="28"/>
          <w:szCs w:val="28"/>
        </w:rPr>
        <w:t xml:space="preserve">Надати </w:t>
      </w:r>
      <w:r>
        <w:rPr>
          <w:rFonts w:eastAsia="Calibri"/>
          <w:sz w:val="28"/>
          <w:szCs w:val="28"/>
        </w:rPr>
        <w:t>Івано-Франківському міському суду Івано-Франківської області</w:t>
      </w:r>
      <w:r>
        <w:rPr>
          <w:sz w:val="28"/>
          <w:szCs w:val="28"/>
        </w:rPr>
        <w:t xml:space="preserve"> висновок у справі щодо </w:t>
      </w:r>
      <w:r>
        <w:rPr>
          <w:rFonts w:eastAsia="Calibri"/>
          <w:sz w:val="28"/>
          <w:szCs w:val="28"/>
          <w:lang w:eastAsia="en-US"/>
        </w:rPr>
        <w:t>доцільності (недоцільності) виселення з домоволодіння №</w:t>
      </w: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на вул. </w:t>
      </w: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>
        <w:rPr>
          <w:rFonts w:eastAsia="Calibri"/>
          <w:sz w:val="28"/>
          <w:szCs w:val="28"/>
          <w:lang w:eastAsia="en-US"/>
        </w:rPr>
        <w:t>м.Івано</w:t>
      </w:r>
      <w:proofErr w:type="spellEnd"/>
      <w:r>
        <w:rPr>
          <w:rFonts w:eastAsia="Calibri"/>
          <w:sz w:val="28"/>
          <w:szCs w:val="28"/>
          <w:lang w:eastAsia="en-US"/>
        </w:rPr>
        <w:t>-Франків</w:t>
      </w:r>
      <w:r>
        <w:rPr>
          <w:rFonts w:eastAsia="Calibri"/>
          <w:sz w:val="28"/>
          <w:szCs w:val="28"/>
          <w:lang w:eastAsia="en-US"/>
        </w:rPr>
        <w:t xml:space="preserve">ську  неповнолітньої </w:t>
      </w: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року народження</w:t>
      </w:r>
      <w:r>
        <w:rPr>
          <w:sz w:val="26"/>
          <w:szCs w:val="26"/>
        </w:rPr>
        <w:t xml:space="preserve"> </w:t>
      </w:r>
      <w:r>
        <w:rPr>
          <w:bCs/>
          <w:sz w:val="28"/>
          <w:szCs w:val="28"/>
        </w:rPr>
        <w:t>(додаток 5).</w:t>
      </w:r>
    </w:p>
    <w:p w14:paraId="1E7D7DAB" w14:textId="77777777" w:rsidR="001C22F0" w:rsidRDefault="00B00E8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 В</w:t>
      </w:r>
      <w:r>
        <w:rPr>
          <w:sz w:val="28"/>
          <w:szCs w:val="28"/>
        </w:rPr>
        <w:t xml:space="preserve">становити такий порядок участі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у вихованні сина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народження: щовівторка з 17.00 год до 20.00 год; перша та третя субота з 12.00 год до 17.00 год; встановити такий порядок участі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у вихованні сина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народження: щопонеділка  з 17.00 год до 20.00 год; друга та четверта субота з 12.00 год до 19.00 год; з урахуванням  стану здоров’я та розпорядку дня дітей.</w:t>
      </w:r>
    </w:p>
    <w:p w14:paraId="0E98EE34" w14:textId="77777777" w:rsidR="001C22F0" w:rsidRDefault="00B00E80">
      <w:pPr>
        <w:tabs>
          <w:tab w:val="left" w:pos="1785"/>
        </w:tabs>
        <w:jc w:val="both"/>
        <w:rPr>
          <w:sz w:val="28"/>
          <w:szCs w:val="28"/>
        </w:rPr>
      </w:pPr>
      <w:r>
        <w:rPr>
          <w:sz w:val="28"/>
          <w:szCs w:val="28"/>
        </w:rPr>
        <w:t>7. Контроль за виконанням рішення покласти на заступника міського голов</w:t>
      </w:r>
      <w:r>
        <w:rPr>
          <w:sz w:val="28"/>
          <w:szCs w:val="28"/>
        </w:rPr>
        <w:t>и Олександра Левицького.</w:t>
      </w:r>
    </w:p>
    <w:p w14:paraId="7DAEA0A1" w14:textId="77777777" w:rsidR="001C22F0" w:rsidRDefault="001C22F0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3778A4FB" w14:textId="77777777" w:rsidR="001C22F0" w:rsidRDefault="001C22F0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53D97E63" w14:textId="77777777" w:rsidR="001C22F0" w:rsidRDefault="001C22F0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14:paraId="015BC402" w14:textId="77777777" w:rsidR="001C22F0" w:rsidRDefault="00B00E80">
      <w:pPr>
        <w:tabs>
          <w:tab w:val="left" w:pos="142"/>
          <w:tab w:val="left" w:pos="8505"/>
        </w:tabs>
        <w:spacing w:line="252" w:lineRule="auto"/>
        <w:ind w:right="-2"/>
        <w:jc w:val="both"/>
      </w:pPr>
      <w:r>
        <w:rPr>
          <w:sz w:val="28"/>
          <w:szCs w:val="28"/>
          <w:lang w:eastAsia="en-US"/>
        </w:rPr>
        <w:t>Міський голова                                                               Руслан МАРЦІНКІВ</w:t>
      </w:r>
    </w:p>
    <w:sectPr w:rsidR="001C22F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A76"/>
    <w:rsid w:val="001B7A76"/>
    <w:rsid w:val="001C22F0"/>
    <w:rsid w:val="005C6DD7"/>
    <w:rsid w:val="007E0DDF"/>
    <w:rsid w:val="00B00E80"/>
    <w:rsid w:val="00BB7DEB"/>
    <w:rsid w:val="084C1D95"/>
    <w:rsid w:val="192E21A5"/>
    <w:rsid w:val="4A8B2259"/>
    <w:rsid w:val="6198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61E7C6-CEC3-41F5-9D48-850069FB4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1987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2024-07-22T11:05:00Z</dcterms:created>
  <dcterms:modified xsi:type="dcterms:W3CDTF">2024-07-22T11:05:00Z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1033-12.2.0.17153</vt:lpwstr>
  </property>
  <property fmtid="{D5CDD505-2E9C-101B-9397-08002B2CF9AE}" pid="3" name="ICV">
    <vt:lpwstr>D5167BF628AB455F984B5EB4F0926D12_13</vt:lpwstr>
  </property>
</Properties>
</file>