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D7C" w:rsidRDefault="00474535">
      <w:pPr>
        <w:spacing w:after="0" w:line="276" w:lineRule="auto"/>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 xml:space="preserve">Звіт </w:t>
      </w:r>
    </w:p>
    <w:p w:rsidR="00B50D7C" w:rsidRDefault="00474535">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Івано-Франківського вищого професійного училища сервісного обслуговування техніки </w:t>
      </w:r>
    </w:p>
    <w:p w:rsidR="00B50D7C" w:rsidRDefault="00474535">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 2022-2023 навчальний рік</w:t>
      </w:r>
    </w:p>
    <w:p w:rsidR="00B50D7C" w:rsidRDefault="00B50D7C">
      <w:pPr>
        <w:spacing w:after="0" w:line="276" w:lineRule="auto"/>
        <w:jc w:val="center"/>
        <w:rPr>
          <w:rFonts w:ascii="Times New Roman" w:eastAsia="Times New Roman" w:hAnsi="Times New Roman" w:cs="Times New Roman"/>
          <w:b/>
          <w:sz w:val="28"/>
          <w:szCs w:val="28"/>
        </w:rPr>
      </w:pPr>
    </w:p>
    <w:p w:rsidR="00B50D7C" w:rsidRDefault="00474535">
      <w:pPr>
        <w:spacing w:after="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Контингент здобувачів освіти</w:t>
      </w:r>
      <w:r>
        <w:rPr>
          <w:rFonts w:ascii="Times New Roman" w:eastAsia="Times New Roman" w:hAnsi="Times New Roman" w:cs="Times New Roman"/>
          <w:sz w:val="28"/>
          <w:szCs w:val="28"/>
        </w:rPr>
        <w:t xml:space="preserve"> .</w:t>
      </w:r>
    </w:p>
    <w:p w:rsidR="00B50D7C" w:rsidRDefault="00474535">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Станом на 01.06.2023 в училищі</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навчались 393  учні, з них 310, що становить 79% – за регіональним замовленням та 83 (21%)  учні  понад регіональне замовлення (за контрактом): на базі базової загальної середньої освіти із здобуттям повної – 180 учнів, що становить 46%; на базі повної загальної середньої освіти – 172 учнів, що становить 44% та 41 фаховий молодший бакалавр, що становить 10% від загальної кількості учнів. </w:t>
      </w:r>
    </w:p>
    <w:p w:rsidR="00B50D7C" w:rsidRDefault="00474535">
      <w:pPr>
        <w:spacing w:after="0" w:line="276" w:lineRule="auto"/>
        <w:jc w:val="both"/>
        <w:rPr>
          <w:rFonts w:ascii="Helvetica Neue" w:eastAsia="Helvetica Neue" w:hAnsi="Helvetica Neue" w:cs="Helvetica Neue"/>
          <w:b/>
          <w:i/>
          <w:color w:val="404040"/>
          <w:sz w:val="24"/>
          <w:szCs w:val="24"/>
        </w:rPr>
      </w:pPr>
      <w:r>
        <w:rPr>
          <w:rFonts w:ascii="Times New Roman" w:eastAsia="Times New Roman" w:hAnsi="Times New Roman" w:cs="Times New Roman"/>
          <w:sz w:val="28"/>
          <w:szCs w:val="28"/>
        </w:rPr>
        <w:t xml:space="preserve">     Всього прийнято на навчання в 2022-2023 навчальному році 308 учнів</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з них 219 – за регіональним замовленням і 89 ( 29%) учні понад регіональне замовлення (за контрактом): на базі базової загальної середньої освіти із здобуттям повної – 71 учень, що становить 23%; на базі повної загальної середньої освіти –209 учнів, що становить 68% та 28 фахових молодших бакалаврів, що становить 9% від загальної кількості учнів.</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План регіонального замовлення на 2022-2023 навчальний рік становив 161 кваліфікований робітник та 15 фахових молодших бакалаврів. У зв’язку з кількості поданих заяв було скориговано план обсягів регіонального замовлення:</w:t>
      </w:r>
    </w:p>
    <w:tbl>
      <w:tblPr>
        <w:tblStyle w:val="ae"/>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2"/>
        <w:gridCol w:w="1018"/>
        <w:gridCol w:w="1097"/>
        <w:gridCol w:w="1018"/>
        <w:gridCol w:w="1479"/>
        <w:gridCol w:w="963"/>
      </w:tblGrid>
      <w:tr w:rsidR="00B50D7C">
        <w:trPr>
          <w:trHeight w:val="480"/>
        </w:trPr>
        <w:tc>
          <w:tcPr>
            <w:tcW w:w="3922" w:type="dxa"/>
            <w:vMerge w:val="restart"/>
          </w:tcPr>
          <w:p w:rsidR="00B50D7C" w:rsidRDefault="0047453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Найменування освітньо-кваліфікаційного рівня, напряму підготовки робітних кадрів, спеціальності </w:t>
            </w:r>
          </w:p>
        </w:tc>
        <w:tc>
          <w:tcPr>
            <w:tcW w:w="2115" w:type="dxa"/>
            <w:gridSpan w:val="2"/>
          </w:tcPr>
          <w:p w:rsidR="00B50D7C" w:rsidRDefault="00474535">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3460" w:type="dxa"/>
            <w:gridSpan w:val="3"/>
          </w:tcPr>
          <w:p w:rsidR="00B50D7C" w:rsidRDefault="00474535">
            <w:pPr>
              <w:spacing w:line="276"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2023</w:t>
            </w:r>
          </w:p>
        </w:tc>
      </w:tr>
      <w:tr w:rsidR="00B50D7C">
        <w:trPr>
          <w:trHeight w:val="742"/>
        </w:trPr>
        <w:tc>
          <w:tcPr>
            <w:tcW w:w="3922" w:type="dxa"/>
            <w:vMerge/>
          </w:tcPr>
          <w:p w:rsidR="00B50D7C" w:rsidRDefault="00B50D7C">
            <w:pPr>
              <w:widowControl w:val="0"/>
              <w:pBdr>
                <w:top w:val="nil"/>
                <w:left w:val="nil"/>
                <w:bottom w:val="nil"/>
                <w:right w:val="nil"/>
                <w:between w:val="nil"/>
              </w:pBdr>
              <w:spacing w:line="276" w:lineRule="auto"/>
              <w:rPr>
                <w:rFonts w:ascii="Times New Roman" w:eastAsia="Times New Roman" w:hAnsi="Times New Roman" w:cs="Times New Roman"/>
                <w:b/>
                <w:sz w:val="24"/>
                <w:szCs w:val="24"/>
                <w:u w:val="single"/>
              </w:rPr>
            </w:pPr>
          </w:p>
        </w:tc>
        <w:tc>
          <w:tcPr>
            <w:tcW w:w="1018" w:type="dxa"/>
          </w:tcPr>
          <w:p w:rsidR="00B50D7C" w:rsidRDefault="0047453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Випуск</w:t>
            </w:r>
          </w:p>
        </w:tc>
        <w:tc>
          <w:tcPr>
            <w:tcW w:w="1097" w:type="dxa"/>
          </w:tcPr>
          <w:p w:rsidR="00B50D7C" w:rsidRDefault="0047453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Прийом</w:t>
            </w:r>
          </w:p>
        </w:tc>
        <w:tc>
          <w:tcPr>
            <w:tcW w:w="1018" w:type="dxa"/>
          </w:tcPr>
          <w:p w:rsidR="00B50D7C" w:rsidRDefault="0047453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Випуск</w:t>
            </w:r>
          </w:p>
        </w:tc>
        <w:tc>
          <w:tcPr>
            <w:tcW w:w="1479" w:type="dxa"/>
          </w:tcPr>
          <w:p w:rsidR="00B50D7C" w:rsidRDefault="0047453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Перехідний контингент</w:t>
            </w:r>
          </w:p>
        </w:tc>
        <w:tc>
          <w:tcPr>
            <w:tcW w:w="963" w:type="dxa"/>
          </w:tcPr>
          <w:p w:rsidR="00B50D7C" w:rsidRDefault="0047453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w:t>
            </w:r>
          </w:p>
        </w:tc>
      </w:tr>
      <w:tr w:rsidR="00B50D7C">
        <w:tc>
          <w:tcPr>
            <w:tcW w:w="3922" w:type="dxa"/>
          </w:tcPr>
          <w:p w:rsidR="00B50D7C" w:rsidRDefault="0047453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Підготовка робітничих кадрів, осіб (всього)</w:t>
            </w:r>
          </w:p>
        </w:tc>
        <w:tc>
          <w:tcPr>
            <w:tcW w:w="1018"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w:t>
            </w:r>
          </w:p>
        </w:tc>
        <w:tc>
          <w:tcPr>
            <w:tcW w:w="1097"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219</w:t>
            </w:r>
          </w:p>
        </w:tc>
        <w:tc>
          <w:tcPr>
            <w:tcW w:w="1018"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166</w:t>
            </w:r>
          </w:p>
        </w:tc>
        <w:tc>
          <w:tcPr>
            <w:tcW w:w="1479"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194</w:t>
            </w:r>
          </w:p>
        </w:tc>
        <w:tc>
          <w:tcPr>
            <w:tcW w:w="963"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209</w:t>
            </w:r>
          </w:p>
        </w:tc>
      </w:tr>
      <w:tr w:rsidR="00B50D7C">
        <w:tc>
          <w:tcPr>
            <w:tcW w:w="3922" w:type="dxa"/>
          </w:tcPr>
          <w:p w:rsidR="00B50D7C" w:rsidRDefault="00474535">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Підготовка молодших спеціалістів, фахових   молодших бакалаврів, осіб (всього)</w:t>
            </w:r>
          </w:p>
        </w:tc>
        <w:tc>
          <w:tcPr>
            <w:tcW w:w="1018"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097"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018"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479"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963"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B50D7C">
        <w:tc>
          <w:tcPr>
            <w:tcW w:w="3922" w:type="dxa"/>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151 Автоматизація та  комп’ютерно-інтегрованих технології</w:t>
            </w:r>
          </w:p>
        </w:tc>
        <w:tc>
          <w:tcPr>
            <w:tcW w:w="1018"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097"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018"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479"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963" w:type="dxa"/>
          </w:tcPr>
          <w:p w:rsidR="00B50D7C" w:rsidRDefault="00B50D7C">
            <w:pPr>
              <w:spacing w:line="276" w:lineRule="auto"/>
              <w:jc w:val="center"/>
              <w:rPr>
                <w:rFonts w:ascii="Times New Roman" w:eastAsia="Times New Roman" w:hAnsi="Times New Roman" w:cs="Times New Roman"/>
                <w:sz w:val="24"/>
                <w:szCs w:val="24"/>
              </w:rPr>
            </w:pPr>
          </w:p>
        </w:tc>
      </w:tr>
      <w:tr w:rsidR="00B50D7C">
        <w:tc>
          <w:tcPr>
            <w:tcW w:w="3922" w:type="dxa"/>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174 Автоматизація, комп’ютерні технології та робототехніка</w:t>
            </w:r>
          </w:p>
        </w:tc>
        <w:tc>
          <w:tcPr>
            <w:tcW w:w="1018"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97"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18"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9"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63" w:type="dxa"/>
          </w:tcPr>
          <w:p w:rsidR="00B50D7C" w:rsidRDefault="00474535">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bl>
    <w:p w:rsidR="00B50D7C" w:rsidRDefault="00474535">
      <w:pPr>
        <w:spacing w:after="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6148E3" w:rsidRDefault="006148E3">
      <w:pPr>
        <w:spacing w:after="0" w:line="276" w:lineRule="auto"/>
        <w:jc w:val="center"/>
        <w:rPr>
          <w:rFonts w:ascii="Times New Roman" w:eastAsia="Times New Roman" w:hAnsi="Times New Roman" w:cs="Times New Roman"/>
          <w:b/>
          <w:sz w:val="28"/>
          <w:szCs w:val="28"/>
        </w:rPr>
      </w:pPr>
    </w:p>
    <w:p w:rsidR="00B50D7C" w:rsidRDefault="00474535">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Працевлаштування випускників</w:t>
      </w:r>
    </w:p>
    <w:p w:rsidR="00B50D7C" w:rsidRDefault="00474535">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Училищем постійно проводиться анкетування  роботодавців, випускників та абітурієнтів училища, на основі якого здійснюється щорічний моніторинг. Рівень формування плану підготовки кваліфікованих робітників, збереження контингенту, випуск та працевлаштування випускників відповідає вимогам нормативних документів про професійно-технічну освіту. На даний час укладені як двосторонні угоди так і багатосторонні угоди з роботодавцями загальною кількістю 190 договорів</w:t>
      </w:r>
      <w:r>
        <w:rPr>
          <w:rFonts w:ascii="Times New Roman" w:eastAsia="Times New Roman" w:hAnsi="Times New Roman" w:cs="Times New Roman"/>
          <w:b/>
          <w:sz w:val="28"/>
          <w:szCs w:val="28"/>
        </w:rPr>
        <w:t xml:space="preserve"> </w:t>
      </w:r>
    </w:p>
    <w:p w:rsidR="00B50D7C" w:rsidRDefault="00474535">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  2020-2021 навчальному  році</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з 155 випускників  </w:t>
      </w:r>
      <w:proofErr w:type="spellStart"/>
      <w:r>
        <w:rPr>
          <w:rFonts w:ascii="Times New Roman" w:eastAsia="Times New Roman" w:hAnsi="Times New Roman" w:cs="Times New Roman"/>
          <w:sz w:val="28"/>
          <w:szCs w:val="28"/>
        </w:rPr>
        <w:t>працевлаштовано</w:t>
      </w:r>
      <w:proofErr w:type="spellEnd"/>
      <w:r>
        <w:rPr>
          <w:rFonts w:ascii="Times New Roman" w:eastAsia="Times New Roman" w:hAnsi="Times New Roman" w:cs="Times New Roman"/>
          <w:sz w:val="28"/>
          <w:szCs w:val="28"/>
        </w:rPr>
        <w:t xml:space="preserve"> - 99 осіб, 15 продовжували навчання,</w:t>
      </w:r>
    </w:p>
    <w:p w:rsidR="00B50D7C" w:rsidRDefault="00474535">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2021-2022 навчальному році з 152 випускників </w:t>
      </w:r>
      <w:proofErr w:type="spellStart"/>
      <w:r>
        <w:rPr>
          <w:rFonts w:ascii="Times New Roman" w:eastAsia="Times New Roman" w:hAnsi="Times New Roman" w:cs="Times New Roman"/>
          <w:sz w:val="28"/>
          <w:szCs w:val="28"/>
        </w:rPr>
        <w:t>працевлаштовано</w:t>
      </w:r>
      <w:proofErr w:type="spellEnd"/>
      <w:r>
        <w:rPr>
          <w:rFonts w:ascii="Times New Roman" w:eastAsia="Times New Roman" w:hAnsi="Times New Roman" w:cs="Times New Roman"/>
          <w:sz w:val="28"/>
          <w:szCs w:val="28"/>
        </w:rPr>
        <w:t xml:space="preserve"> – 89 осіб, </w:t>
      </w:r>
    </w:p>
    <w:p w:rsidR="00B50D7C" w:rsidRDefault="00474535">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 продовжують навчання.</w:t>
      </w:r>
    </w:p>
    <w:p w:rsidR="00B50D7C" w:rsidRDefault="00474535">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2022-2023 навчальному році з  166 випускників  </w:t>
      </w:r>
      <w:proofErr w:type="spellStart"/>
      <w:r>
        <w:rPr>
          <w:rFonts w:ascii="Times New Roman" w:eastAsia="Times New Roman" w:hAnsi="Times New Roman" w:cs="Times New Roman"/>
          <w:sz w:val="28"/>
          <w:szCs w:val="28"/>
        </w:rPr>
        <w:t>працевлаштвано</w:t>
      </w:r>
      <w:proofErr w:type="spellEnd"/>
      <w:r>
        <w:rPr>
          <w:rFonts w:ascii="Times New Roman" w:eastAsia="Times New Roman" w:hAnsi="Times New Roman" w:cs="Times New Roman"/>
          <w:sz w:val="28"/>
          <w:szCs w:val="28"/>
        </w:rPr>
        <w:t xml:space="preserve"> 86 осіб, </w:t>
      </w:r>
    </w:p>
    <w:p w:rsidR="00B50D7C" w:rsidRDefault="00474535">
      <w:pPr>
        <w:spacing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25 продовжують навчання.</w:t>
      </w:r>
    </w:p>
    <w:p w:rsidR="00B50D7C" w:rsidRDefault="00474535">
      <w:pPr>
        <w:spacing w:line="276"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Втрата контингенту</w:t>
      </w:r>
    </w:p>
    <w:p w:rsidR="00B50D7C" w:rsidRDefault="00474535">
      <w:pPr>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 В 2023 році  випуск учнів становив 194 учні (з них 28 учнів контрактних груп). Перехідний контингент на 2023-24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xml:space="preserve">. становив 251 учень, з них 194 учні (регіональне замовлення), 57 учнів (за кошти фізичних осіб).  </w:t>
      </w:r>
    </w:p>
    <w:tbl>
      <w:tblPr>
        <w:tblStyle w:val="af"/>
        <w:tblW w:w="61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1018"/>
        <w:gridCol w:w="1479"/>
        <w:gridCol w:w="1599"/>
      </w:tblGrid>
      <w:tr w:rsidR="00B50D7C">
        <w:tc>
          <w:tcPr>
            <w:tcW w:w="2093" w:type="dxa"/>
            <w:shd w:val="clear" w:color="auto" w:fill="auto"/>
          </w:tcPr>
          <w:p w:rsidR="00B50D7C" w:rsidRDefault="00474535">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Навчальний рік</w:t>
            </w:r>
          </w:p>
        </w:tc>
        <w:tc>
          <w:tcPr>
            <w:tcW w:w="1018" w:type="dxa"/>
            <w:shd w:val="clear" w:color="auto" w:fill="auto"/>
          </w:tcPr>
          <w:p w:rsidR="00B50D7C" w:rsidRDefault="00474535">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Випуск</w:t>
            </w:r>
          </w:p>
        </w:tc>
        <w:tc>
          <w:tcPr>
            <w:tcW w:w="1479" w:type="dxa"/>
            <w:shd w:val="clear" w:color="auto" w:fill="auto"/>
          </w:tcPr>
          <w:p w:rsidR="00B50D7C" w:rsidRDefault="00474535">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Перехідний контингент</w:t>
            </w:r>
          </w:p>
        </w:tc>
        <w:tc>
          <w:tcPr>
            <w:tcW w:w="1599" w:type="dxa"/>
            <w:shd w:val="clear" w:color="auto" w:fill="auto"/>
          </w:tcPr>
          <w:p w:rsidR="00B50D7C" w:rsidRDefault="00474535">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Втрата контингенту</w:t>
            </w:r>
          </w:p>
        </w:tc>
      </w:tr>
      <w:tr w:rsidR="00B50D7C">
        <w:tc>
          <w:tcPr>
            <w:tcW w:w="2093"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2020-2021</w:t>
            </w:r>
          </w:p>
        </w:tc>
        <w:tc>
          <w:tcPr>
            <w:tcW w:w="1018"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155</w:t>
            </w:r>
          </w:p>
        </w:tc>
        <w:tc>
          <w:tcPr>
            <w:tcW w:w="1479"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159</w:t>
            </w:r>
          </w:p>
        </w:tc>
        <w:tc>
          <w:tcPr>
            <w:tcW w:w="1599"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B50D7C">
        <w:tc>
          <w:tcPr>
            <w:tcW w:w="2093"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2021-2022</w:t>
            </w:r>
          </w:p>
        </w:tc>
        <w:tc>
          <w:tcPr>
            <w:tcW w:w="1018"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w:t>
            </w:r>
          </w:p>
        </w:tc>
        <w:tc>
          <w:tcPr>
            <w:tcW w:w="1479"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w:t>
            </w:r>
          </w:p>
        </w:tc>
        <w:tc>
          <w:tcPr>
            <w:tcW w:w="1599"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B50D7C">
        <w:tc>
          <w:tcPr>
            <w:tcW w:w="2093"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2022-2023</w:t>
            </w:r>
          </w:p>
        </w:tc>
        <w:tc>
          <w:tcPr>
            <w:tcW w:w="1018"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194</w:t>
            </w:r>
          </w:p>
        </w:tc>
        <w:tc>
          <w:tcPr>
            <w:tcW w:w="1479"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251</w:t>
            </w:r>
          </w:p>
        </w:tc>
        <w:tc>
          <w:tcPr>
            <w:tcW w:w="1599" w:type="dxa"/>
            <w:shd w:val="clear" w:color="auto" w:fill="auto"/>
          </w:tcPr>
          <w:p w:rsidR="00B50D7C" w:rsidRDefault="0047453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r>
    </w:tbl>
    <w:p w:rsidR="00B50D7C" w:rsidRDefault="00474535">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B50D7C" w:rsidRDefault="00474535">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Соціальний захист учнів</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Станом на 01.06.2023  навчались: 9 учнів сиріт; 7 чол. - особи з інвалідністю; 1 -внутрішньо переміщена особа; 21 учень з багатодітних сімей; 4 чол. з малозабезпечених сімей: 1 учень, батьки яких мають статус чорнобильця;                      9 учнів, батьки яких є учасниками бойових дій. </w:t>
      </w:r>
    </w:p>
    <w:p w:rsidR="00B50D7C" w:rsidRDefault="00474535">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Якісний кадровий склад працівників</w:t>
      </w:r>
    </w:p>
    <w:p w:rsidR="00B50D7C" w:rsidRDefault="00474535">
      <w:pPr>
        <w:pBdr>
          <w:top w:val="nil"/>
          <w:left w:val="nil"/>
          <w:bottom w:val="nil"/>
          <w:right w:val="nil"/>
          <w:between w:val="nil"/>
        </w:pBdr>
        <w:shd w:val="clear" w:color="auto" w:fill="FFFFFF"/>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 штатним розписом в училищі працює 81 працівник, із них  викладачів-35, майстрів виробничого навчання - 16. Із 35 викладачів 17 - загальноосвітніх предметів, 18 викладачі  професійно-теоретичної підготовки. Мають педагогічні </w:t>
      </w:r>
      <w:r>
        <w:rPr>
          <w:rFonts w:ascii="Times New Roman" w:eastAsia="Times New Roman" w:hAnsi="Times New Roman" w:cs="Times New Roman"/>
          <w:color w:val="000000"/>
          <w:sz w:val="28"/>
          <w:szCs w:val="28"/>
        </w:rPr>
        <w:lastRenderedPageBreak/>
        <w:t xml:space="preserve">звання: «викладач – методист» - 4, «старший – викладач» - 30; кваліфікаційну категорію:  вища - 32, перша - 3. Майстри виробничого  навчання  мають  тарифні: розряди:  11 розряд – 1, 12 розряд -2, 13 розряд -2, 14 розряд -11; кваліфікаційну категорію: перша – 9,  друга – 1. </w:t>
      </w:r>
    </w:p>
    <w:p w:rsidR="00B50D7C" w:rsidRDefault="00474535">
      <w:pPr>
        <w:pBdr>
          <w:top w:val="nil"/>
          <w:left w:val="nil"/>
          <w:bottom w:val="nil"/>
          <w:right w:val="nil"/>
          <w:between w:val="nil"/>
        </w:pBdr>
        <w:shd w:val="clear" w:color="auto" w:fill="FFFFFF"/>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 поточному навчальному році проведено атестацію 10 педагогічних працівників: 6 викладачів - на відповідність раніше присвоєній кваліфікаційній категорії «спеціаліст вищої категорії» та  раніше присвоєному педагогічному званню «старший викладач», 1 викладач - на присвоєння кваліфікаційної категорії «спеціаліст вищої категорії» та присвоєння педагогічного звання «старший викладач», 2 майстрам виробничого навчання  - на встановлення заробітної плати відповідно до 14 (чотирнадцятого) тарифного розряду Єдиної тарифної сітки, 1 бібліотекар – на  відповідність раніше присвоєній кваліфікаційній категорії «спеціаліст першої категорії».</w:t>
      </w:r>
    </w:p>
    <w:p w:rsidR="00B50D7C" w:rsidRDefault="00474535">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Господарська діяльність</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Проведено ремонт укриття (на 250 осіб).</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Облаштовано захист від ударної хвилі укриття (встановлено по периметру 300</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мішків з ґрунтом та піском).</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Придбано генератор 5.5 кВт та 300 л пального (талони) до нього.</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Зроблено автономне освітлення від генератора на випадок відключення</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електромережі.</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Замінено радіатори опалення в кабінетах №№109, 206, 207, 208.</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Проведено ремонт кабінету 115 та медичного пункту ( побілка стін, стелі,</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фарбування підлоги, дверей).</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Зроблено косметичний ремонт в кабінеті 15.</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Зроблено ремонт чоловічого туалету 2-го поверху, замінено умивальник та унітаз.</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Проводиться обрізка живоплоту та косіння трави на території училища..</w:t>
      </w:r>
    </w:p>
    <w:p w:rsidR="00B50D7C" w:rsidRDefault="00474535">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Фінансова діяльність</w:t>
      </w:r>
    </w:p>
    <w:p w:rsidR="00B50D7C" w:rsidRDefault="00474535">
      <w:pPr>
        <w:spacing w:after="0" w:line="276" w:lineRule="auto"/>
        <w:jc w:val="both"/>
        <w:rPr>
          <w:rFonts w:ascii="Times New Roman" w:eastAsia="Times New Roman" w:hAnsi="Times New Roman" w:cs="Times New Roman"/>
          <w:b/>
          <w:sz w:val="28"/>
          <w:szCs w:val="28"/>
          <w:u w:val="single"/>
        </w:rPr>
      </w:pPr>
      <w:r>
        <w:rPr>
          <w:rFonts w:ascii="Times New Roman" w:eastAsia="Times New Roman" w:hAnsi="Times New Roman" w:cs="Times New Roman"/>
          <w:sz w:val="28"/>
          <w:szCs w:val="28"/>
        </w:rPr>
        <w:t xml:space="preserve">     За період з 01.06.2022 року по 31.05.2023 року заклад освіти отримував фінансування із таких джерел:</w:t>
      </w:r>
    </w:p>
    <w:p w:rsidR="00B50D7C" w:rsidRDefault="00474535">
      <w:pPr>
        <w:widowControl w:val="0"/>
        <w:numPr>
          <w:ilvl w:val="0"/>
          <w:numId w:val="1"/>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місцевий бюджет  - 17986131,40 грн.:</w:t>
      </w:r>
    </w:p>
    <w:p w:rsidR="00B50D7C" w:rsidRDefault="00474535">
      <w:pPr>
        <w:widowControl w:val="0"/>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оплата праці -8363173,80 грн.</w:t>
      </w:r>
    </w:p>
    <w:p w:rsidR="00B50D7C" w:rsidRDefault="00474535">
      <w:pPr>
        <w:widowControl w:val="0"/>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нарахування на оплату праці – 3109801,05 грн.</w:t>
      </w:r>
    </w:p>
    <w:p w:rsidR="00B50D7C" w:rsidRDefault="00474535">
      <w:pPr>
        <w:pBdr>
          <w:top w:val="nil"/>
          <w:left w:val="nil"/>
          <w:bottom w:val="nil"/>
          <w:right w:val="nil"/>
          <w:between w:val="nil"/>
        </w:pBdr>
        <w:spacing w:after="0" w:line="276" w:lineRule="auto"/>
        <w:jc w:val="both"/>
        <w:rPr>
          <w:rFonts w:ascii="Times New Roman" w:eastAsia="Times New Roman" w:hAnsi="Times New Roman" w:cs="Times New Roman"/>
          <w:b/>
          <w:color w:val="000000"/>
          <w:sz w:val="28"/>
          <w:szCs w:val="28"/>
          <w:u w:val="single"/>
        </w:rPr>
      </w:pPr>
      <w:r>
        <w:rPr>
          <w:rFonts w:ascii="Times New Roman" w:eastAsia="Times New Roman" w:hAnsi="Times New Roman" w:cs="Times New Roman"/>
          <w:color w:val="000000"/>
          <w:sz w:val="28"/>
          <w:szCs w:val="28"/>
        </w:rPr>
        <w:t xml:space="preserve"> - придбання предметів, матеріалів, обладнання та інвентарю – 152859,82 грн  </w:t>
      </w:r>
    </w:p>
    <w:p w:rsidR="00B50D7C" w:rsidRDefault="00474535">
      <w:pPr>
        <w:widowControl w:val="0"/>
        <w:numPr>
          <w:ilvl w:val="0"/>
          <w:numId w:val="3"/>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кошти освітньої субвенції - 2026698,52 грн. </w:t>
      </w:r>
    </w:p>
    <w:p w:rsidR="00B50D7C" w:rsidRDefault="00474535">
      <w:pPr>
        <w:widowControl w:val="0"/>
        <w:spacing w:after="0" w:line="276" w:lineRule="auto"/>
        <w:jc w:val="both"/>
        <w:rPr>
          <w:rFonts w:ascii="Times New Roman" w:eastAsia="Times New Roman" w:hAnsi="Times New Roman" w:cs="Times New Roman"/>
          <w:sz w:val="32"/>
          <w:szCs w:val="32"/>
        </w:rPr>
      </w:pPr>
      <w:r>
        <w:rPr>
          <w:rFonts w:ascii="Times New Roman" w:eastAsia="Times New Roman" w:hAnsi="Times New Roman" w:cs="Times New Roman"/>
          <w:sz w:val="28"/>
          <w:szCs w:val="28"/>
        </w:rPr>
        <w:lastRenderedPageBreak/>
        <w:t xml:space="preserve">    За рахунок коштів освітньої  субвенції  проводяться виплати тільки  заробітної плати (сума виплат - 1760221,74 грн.) та сплати єдиного соціального внеску (сума  сплати – 266476,78 грн</w:t>
      </w:r>
      <w:r>
        <w:rPr>
          <w:rFonts w:ascii="Times New Roman" w:eastAsia="Times New Roman" w:hAnsi="Times New Roman" w:cs="Times New Roman"/>
          <w:sz w:val="32"/>
          <w:szCs w:val="32"/>
        </w:rPr>
        <w:t>.</w:t>
      </w:r>
    </w:p>
    <w:p w:rsidR="00B50D7C" w:rsidRDefault="00474535">
      <w:pPr>
        <w:numPr>
          <w:ilvl w:val="0"/>
          <w:numId w:val="3"/>
        </w:numPr>
        <w:pBdr>
          <w:top w:val="nil"/>
          <w:left w:val="nil"/>
          <w:bottom w:val="nil"/>
          <w:right w:val="nil"/>
          <w:between w:val="nil"/>
        </w:pBdr>
        <w:spacing w:after="0" w:line="276" w:lineRule="auto"/>
        <w:ind w:left="284" w:hanging="284"/>
        <w:rPr>
          <w:rFonts w:ascii="Times New Roman" w:eastAsia="Times New Roman" w:hAnsi="Times New Roman" w:cs="Times New Roman"/>
          <w:b/>
          <w:color w:val="000000"/>
          <w:sz w:val="28"/>
          <w:szCs w:val="28"/>
          <w:u w:val="single"/>
        </w:rPr>
      </w:pPr>
      <w:r>
        <w:rPr>
          <w:rFonts w:ascii="Times New Roman" w:eastAsia="Times New Roman" w:hAnsi="Times New Roman" w:cs="Times New Roman"/>
          <w:color w:val="000000"/>
          <w:sz w:val="28"/>
          <w:szCs w:val="28"/>
        </w:rPr>
        <w:t xml:space="preserve">кошти місцевого бюджету на підготовку кадрів закладами  фахової  </w:t>
      </w:r>
      <w:proofErr w:type="spellStart"/>
      <w:r>
        <w:rPr>
          <w:rFonts w:ascii="Times New Roman" w:eastAsia="Times New Roman" w:hAnsi="Times New Roman" w:cs="Times New Roman"/>
          <w:color w:val="000000"/>
          <w:sz w:val="28"/>
          <w:szCs w:val="28"/>
        </w:rPr>
        <w:t>передвищої</w:t>
      </w:r>
      <w:proofErr w:type="spellEnd"/>
      <w:r>
        <w:rPr>
          <w:rFonts w:ascii="Times New Roman" w:eastAsia="Times New Roman" w:hAnsi="Times New Roman" w:cs="Times New Roman"/>
          <w:color w:val="000000"/>
          <w:sz w:val="28"/>
          <w:szCs w:val="28"/>
        </w:rPr>
        <w:t xml:space="preserve"> освіти  1635871,39 грн.</w:t>
      </w:r>
    </w:p>
    <w:p w:rsidR="00B50D7C" w:rsidRDefault="00474535">
      <w:pPr>
        <w:numPr>
          <w:ilvl w:val="0"/>
          <w:numId w:val="3"/>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кошти бюджету розвитку  в сумі 69800,00 грн. на придбання генератора для забезпечення безперебійної роботи укриття .</w:t>
      </w:r>
    </w:p>
    <w:p w:rsidR="00B50D7C" w:rsidRDefault="00474535">
      <w:pPr>
        <w:widowControl w:val="0"/>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32"/>
          <w:szCs w:val="32"/>
        </w:rPr>
        <w:t xml:space="preserve">    </w:t>
      </w:r>
      <w:r>
        <w:rPr>
          <w:rFonts w:ascii="Times New Roman" w:eastAsia="Times New Roman" w:hAnsi="Times New Roman" w:cs="Times New Roman"/>
          <w:sz w:val="28"/>
          <w:szCs w:val="28"/>
        </w:rPr>
        <w:t xml:space="preserve">Використання  коштів здійснювалося  відповідно затверджених Департаментом освіти та науки Івано-Франківської міської ради, на підставі укладених договорів, інформацію щодо яких оприлюднено в системі електронних закупівель  PROZORRO відповідно чинного законодавства.  </w:t>
      </w:r>
    </w:p>
    <w:p w:rsidR="00B50D7C" w:rsidRDefault="00474535">
      <w:pPr>
        <w:widowControl w:val="0"/>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Велику роль для забезпечення стабільності діяльності навчального закладу відіграють власні надходження</w:t>
      </w:r>
      <w:r>
        <w:rPr>
          <w:rFonts w:ascii="Times New Roman" w:eastAsia="Times New Roman" w:hAnsi="Times New Roman" w:cs="Times New Roman"/>
          <w:b/>
          <w:sz w:val="28"/>
          <w:szCs w:val="28"/>
        </w:rPr>
        <w:t>.</w:t>
      </w:r>
    </w:p>
    <w:p w:rsidR="00B50D7C" w:rsidRDefault="00474535">
      <w:pPr>
        <w:widowControl w:val="0"/>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 період з 01.06.2022 року по  31.05.2023 року такі надходження склали :</w:t>
      </w:r>
    </w:p>
    <w:p w:rsidR="00B50D7C" w:rsidRDefault="00474535">
      <w:pPr>
        <w:widowControl w:val="0"/>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по спеціальному фонду – 1681274,49 грн.</w:t>
      </w:r>
    </w:p>
    <w:p w:rsidR="00B50D7C" w:rsidRDefault="00474535">
      <w:pPr>
        <w:widowControl w:val="0"/>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по благодійних внесках – 98779,00 грн.</w:t>
      </w:r>
    </w:p>
    <w:p w:rsidR="00B50D7C" w:rsidRDefault="00474535">
      <w:pPr>
        <w:shd w:val="clear" w:color="auto" w:fill="FFFFFF"/>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Оновлення матеріально-технічної бази.</w:t>
      </w:r>
    </w:p>
    <w:p w:rsidR="00B50D7C" w:rsidRDefault="00474535">
      <w:pPr>
        <w:spacing w:after="0" w:line="276" w:lineRule="auto"/>
        <w:jc w:val="both"/>
        <w:rPr>
          <w:rFonts w:ascii="Times New Roman" w:eastAsia="Times New Roman" w:hAnsi="Times New Roman" w:cs="Times New Roman"/>
          <w:color w:val="404040"/>
          <w:sz w:val="28"/>
          <w:szCs w:val="28"/>
          <w:highlight w:val="white"/>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404040"/>
          <w:sz w:val="28"/>
          <w:szCs w:val="28"/>
          <w:highlight w:val="white"/>
        </w:rPr>
        <w:t>В училищі постійно функціонує бібліотека, їдальня, спортивна зала, для проведення заходів використовується актова зала. </w:t>
      </w:r>
      <w:r>
        <w:rPr>
          <w:rFonts w:ascii="Times New Roman" w:eastAsia="Times New Roman" w:hAnsi="Times New Roman" w:cs="Times New Roman"/>
          <w:sz w:val="28"/>
          <w:szCs w:val="28"/>
        </w:rPr>
        <w:t xml:space="preserve"> Для якісного проведення навчально-виробничого навчання була поновлена матеріально-технічна база в майстернях та лабораторіях на загальну суму: 43354,00 грн. </w:t>
      </w:r>
      <w:r>
        <w:rPr>
          <w:rFonts w:ascii="Times New Roman" w:eastAsia="Times New Roman" w:hAnsi="Times New Roman" w:cs="Times New Roman"/>
          <w:color w:val="404040"/>
          <w:sz w:val="28"/>
          <w:szCs w:val="28"/>
          <w:highlight w:val="white"/>
        </w:rPr>
        <w:t xml:space="preserve"> Систематично проводяться ремонтні та ремонтно-аварійні роботи, заходи по енергозбереженню та дотримання задовільних санітарно-гігієнічних норм</w:t>
      </w:r>
    </w:p>
    <w:p w:rsidR="00B50D7C" w:rsidRDefault="00474535">
      <w:pPr>
        <w:spacing w:after="0" w:line="276" w:lineRule="auto"/>
        <w:jc w:val="both"/>
        <w:rPr>
          <w:rFonts w:ascii="Times New Roman" w:eastAsia="Times New Roman" w:hAnsi="Times New Roman" w:cs="Times New Roman"/>
          <w:b/>
          <w:sz w:val="28"/>
          <w:szCs w:val="28"/>
          <w:u w:val="single"/>
        </w:rPr>
      </w:pPr>
      <w:r>
        <w:rPr>
          <w:rFonts w:ascii="Times New Roman" w:eastAsia="Times New Roman" w:hAnsi="Times New Roman" w:cs="Times New Roman"/>
          <w:color w:val="404040"/>
          <w:sz w:val="28"/>
          <w:szCs w:val="28"/>
          <w:highlight w:val="white"/>
        </w:rPr>
        <w:t xml:space="preserve">     </w:t>
      </w:r>
      <w:r>
        <w:rPr>
          <w:rFonts w:ascii="Times New Roman" w:eastAsia="Times New Roman" w:hAnsi="Times New Roman" w:cs="Times New Roman"/>
          <w:sz w:val="28"/>
          <w:szCs w:val="28"/>
        </w:rPr>
        <w:t>Протягом 2022-2023 навчального року отримано безкоштовно матеріальні цінності  від  Департаменту освіти та науки Івано-Франківської міської ради   в сумі 7020,91 грн. та Департаменту освіти і науки Івано-Франківської обласної держадміністрації в сумі 545303,96 грн.</w:t>
      </w:r>
    </w:p>
    <w:p w:rsidR="00B50D7C" w:rsidRDefault="00B50D7C">
      <w:pPr>
        <w:spacing w:after="0" w:line="276" w:lineRule="auto"/>
        <w:jc w:val="center"/>
        <w:rPr>
          <w:rFonts w:ascii="Times New Roman" w:eastAsia="Times New Roman" w:hAnsi="Times New Roman" w:cs="Times New Roman"/>
          <w:b/>
          <w:sz w:val="28"/>
          <w:szCs w:val="28"/>
          <w:highlight w:val="white"/>
        </w:rPr>
      </w:pPr>
    </w:p>
    <w:p w:rsidR="00B50D7C" w:rsidRDefault="00474535">
      <w:pPr>
        <w:spacing w:after="0" w:line="276"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Виробнича діяльність</w:t>
      </w:r>
    </w:p>
    <w:p w:rsidR="00B50D7C" w:rsidRDefault="00474535">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Заклад освіти контролює проходження професійної підготовки на виробництві, з підприємствами укладаються договори, в яких відображаються умови проходження виробничого навчання і практики, забезпечуються необхідні та безпечні умови праці. </w:t>
      </w:r>
      <w:r>
        <w:rPr>
          <w:rFonts w:ascii="Times New Roman" w:eastAsia="Times New Roman" w:hAnsi="Times New Roman" w:cs="Times New Roman"/>
          <w:sz w:val="28"/>
          <w:szCs w:val="28"/>
        </w:rPr>
        <w:t xml:space="preserve">Оплата за виробничу практику здійснювалася за фактично виконаний обсяг робіт, та відповідно до акту виконаних робіт. </w:t>
      </w:r>
    </w:p>
    <w:tbl>
      <w:tblPr>
        <w:tblStyle w:val="af0"/>
        <w:tblW w:w="98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1"/>
        <w:gridCol w:w="1971"/>
        <w:gridCol w:w="1971"/>
        <w:gridCol w:w="1971"/>
        <w:gridCol w:w="1971"/>
      </w:tblGrid>
      <w:tr w:rsidR="00B50D7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2022 рік</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квартал</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 квартал</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III квартал</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IV квартал</w:t>
            </w:r>
          </w:p>
        </w:tc>
      </w:tr>
      <w:tr w:rsidR="00B50D7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планово</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proofErr w:type="spellStart"/>
            <w:r>
              <w:rPr>
                <w:rFonts w:ascii="Times New Roman" w:eastAsia="Times New Roman" w:hAnsi="Times New Roman" w:cs="Times New Roman"/>
                <w:sz w:val="24"/>
                <w:szCs w:val="24"/>
              </w:rPr>
              <w:t>тис.грн</w:t>
            </w:r>
            <w:proofErr w:type="spellEnd"/>
            <w:r>
              <w:rPr>
                <w:rFonts w:ascii="Times New Roman" w:eastAsia="Times New Roman" w:hAnsi="Times New Roman" w:cs="Times New Roman"/>
                <w:sz w:val="24"/>
                <w:szCs w:val="24"/>
              </w:rPr>
              <w:t>.</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w:t>
            </w:r>
            <w:proofErr w:type="spellStart"/>
            <w:r>
              <w:rPr>
                <w:rFonts w:ascii="Times New Roman" w:eastAsia="Times New Roman" w:hAnsi="Times New Roman" w:cs="Times New Roman"/>
                <w:sz w:val="24"/>
                <w:szCs w:val="24"/>
              </w:rPr>
              <w:t>тис.грн</w:t>
            </w:r>
            <w:proofErr w:type="spellEnd"/>
            <w:r>
              <w:rPr>
                <w:rFonts w:ascii="Times New Roman" w:eastAsia="Times New Roman" w:hAnsi="Times New Roman" w:cs="Times New Roman"/>
                <w:sz w:val="24"/>
                <w:szCs w:val="24"/>
              </w:rPr>
              <w:t>.</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w:t>
            </w:r>
            <w:proofErr w:type="spellStart"/>
            <w:r>
              <w:rPr>
                <w:rFonts w:ascii="Times New Roman" w:eastAsia="Times New Roman" w:hAnsi="Times New Roman" w:cs="Times New Roman"/>
                <w:sz w:val="24"/>
                <w:szCs w:val="24"/>
              </w:rPr>
              <w:t>тис.грн</w:t>
            </w:r>
            <w:proofErr w:type="spellEnd"/>
            <w:r>
              <w:rPr>
                <w:rFonts w:ascii="Times New Roman" w:eastAsia="Times New Roman" w:hAnsi="Times New Roman" w:cs="Times New Roman"/>
                <w:sz w:val="24"/>
                <w:szCs w:val="24"/>
              </w:rPr>
              <w:t>.</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w:t>
            </w:r>
            <w:proofErr w:type="spellStart"/>
            <w:r>
              <w:rPr>
                <w:rFonts w:ascii="Times New Roman" w:eastAsia="Times New Roman" w:hAnsi="Times New Roman" w:cs="Times New Roman"/>
                <w:sz w:val="24"/>
                <w:szCs w:val="24"/>
              </w:rPr>
              <w:t>тис.грн</w:t>
            </w:r>
            <w:proofErr w:type="spellEnd"/>
            <w:r>
              <w:rPr>
                <w:rFonts w:ascii="Times New Roman" w:eastAsia="Times New Roman" w:hAnsi="Times New Roman" w:cs="Times New Roman"/>
                <w:sz w:val="24"/>
                <w:szCs w:val="24"/>
              </w:rPr>
              <w:t>.</w:t>
            </w:r>
          </w:p>
        </w:tc>
      </w:tr>
      <w:tr w:rsidR="00B50D7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фактично</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15тис.350грн.</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44тис. 278грн.</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22тис. 188грн.</w:t>
            </w:r>
          </w:p>
        </w:tc>
        <w:tc>
          <w:tcPr>
            <w:tcW w:w="1971" w:type="dxa"/>
            <w:tcBorders>
              <w:top w:val="single" w:sz="4" w:space="0" w:color="000000"/>
              <w:left w:val="single" w:sz="4" w:space="0" w:color="000000"/>
              <w:bottom w:val="single" w:sz="4" w:space="0" w:color="000000"/>
              <w:right w:val="single" w:sz="4" w:space="0" w:color="000000"/>
            </w:tcBorders>
          </w:tcPr>
          <w:p w:rsidR="00B50D7C" w:rsidRDefault="00474535">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27тис.грн.</w:t>
            </w:r>
          </w:p>
        </w:tc>
      </w:tr>
    </w:tbl>
    <w:p w:rsidR="00B50D7C" w:rsidRDefault="00B50D7C">
      <w:pPr>
        <w:spacing w:after="0" w:line="276" w:lineRule="auto"/>
        <w:ind w:firstLine="709"/>
        <w:jc w:val="both"/>
        <w:rPr>
          <w:rFonts w:ascii="Times New Roman" w:eastAsia="Times New Roman" w:hAnsi="Times New Roman" w:cs="Times New Roman"/>
          <w:sz w:val="28"/>
          <w:szCs w:val="28"/>
        </w:rPr>
      </w:pPr>
    </w:p>
    <w:tbl>
      <w:tblPr>
        <w:tblStyle w:val="af1"/>
        <w:tblW w:w="98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1"/>
        <w:gridCol w:w="1971"/>
        <w:gridCol w:w="1971"/>
        <w:gridCol w:w="1971"/>
        <w:gridCol w:w="1971"/>
      </w:tblGrid>
      <w:tr w:rsidR="00B50D7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2023 рік</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квартал</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 квартал</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III квартал</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IV квартал</w:t>
            </w:r>
          </w:p>
        </w:tc>
      </w:tr>
      <w:tr w:rsidR="00B50D7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планово</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proofErr w:type="spellStart"/>
            <w:r>
              <w:rPr>
                <w:rFonts w:ascii="Times New Roman" w:eastAsia="Times New Roman" w:hAnsi="Times New Roman" w:cs="Times New Roman"/>
                <w:sz w:val="24"/>
                <w:szCs w:val="24"/>
              </w:rPr>
              <w:t>тис.грн</w:t>
            </w:r>
            <w:proofErr w:type="spellEnd"/>
            <w:r>
              <w:rPr>
                <w:rFonts w:ascii="Times New Roman" w:eastAsia="Times New Roman" w:hAnsi="Times New Roman" w:cs="Times New Roman"/>
                <w:sz w:val="24"/>
                <w:szCs w:val="24"/>
              </w:rPr>
              <w:t>.</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proofErr w:type="spellStart"/>
            <w:r>
              <w:rPr>
                <w:rFonts w:ascii="Times New Roman" w:eastAsia="Times New Roman" w:hAnsi="Times New Roman" w:cs="Times New Roman"/>
                <w:sz w:val="24"/>
                <w:szCs w:val="24"/>
              </w:rPr>
              <w:t>тис.грн</w:t>
            </w:r>
            <w:proofErr w:type="spellEnd"/>
            <w:r>
              <w:rPr>
                <w:rFonts w:ascii="Times New Roman" w:eastAsia="Times New Roman" w:hAnsi="Times New Roman" w:cs="Times New Roman"/>
                <w:sz w:val="24"/>
                <w:szCs w:val="24"/>
              </w:rPr>
              <w:t>.</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w:t>
            </w:r>
            <w:proofErr w:type="spellStart"/>
            <w:r>
              <w:rPr>
                <w:rFonts w:ascii="Times New Roman" w:eastAsia="Times New Roman" w:hAnsi="Times New Roman" w:cs="Times New Roman"/>
                <w:sz w:val="24"/>
                <w:szCs w:val="24"/>
              </w:rPr>
              <w:t>тис.грн</w:t>
            </w:r>
            <w:proofErr w:type="spellEnd"/>
            <w:r>
              <w:rPr>
                <w:rFonts w:ascii="Times New Roman" w:eastAsia="Times New Roman" w:hAnsi="Times New Roman" w:cs="Times New Roman"/>
                <w:sz w:val="24"/>
                <w:szCs w:val="24"/>
              </w:rPr>
              <w:t>.</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w:t>
            </w:r>
            <w:proofErr w:type="spellStart"/>
            <w:r>
              <w:rPr>
                <w:rFonts w:ascii="Times New Roman" w:eastAsia="Times New Roman" w:hAnsi="Times New Roman" w:cs="Times New Roman"/>
                <w:sz w:val="24"/>
                <w:szCs w:val="24"/>
              </w:rPr>
              <w:t>тис.грн</w:t>
            </w:r>
            <w:proofErr w:type="spellEnd"/>
            <w:r>
              <w:rPr>
                <w:rFonts w:ascii="Times New Roman" w:eastAsia="Times New Roman" w:hAnsi="Times New Roman" w:cs="Times New Roman"/>
                <w:sz w:val="24"/>
                <w:szCs w:val="24"/>
              </w:rPr>
              <w:t>.</w:t>
            </w:r>
          </w:p>
        </w:tc>
      </w:tr>
      <w:tr w:rsidR="00B50D7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фактично</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28тис.873грн.</w:t>
            </w:r>
          </w:p>
        </w:tc>
        <w:tc>
          <w:tcPr>
            <w:tcW w:w="1971" w:type="dxa"/>
            <w:shd w:val="clear" w:color="auto" w:fill="auto"/>
          </w:tcPr>
          <w:p w:rsidR="00B50D7C" w:rsidRDefault="00474535">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48тис.920грн.</w:t>
            </w:r>
          </w:p>
        </w:tc>
        <w:tc>
          <w:tcPr>
            <w:tcW w:w="1971" w:type="dxa"/>
            <w:shd w:val="clear" w:color="auto" w:fill="auto"/>
          </w:tcPr>
          <w:p w:rsidR="00B50D7C" w:rsidRDefault="00B50D7C">
            <w:pPr>
              <w:spacing w:after="0" w:line="276" w:lineRule="auto"/>
              <w:rPr>
                <w:rFonts w:ascii="Times New Roman" w:eastAsia="Times New Roman" w:hAnsi="Times New Roman" w:cs="Times New Roman"/>
                <w:sz w:val="24"/>
                <w:szCs w:val="24"/>
              </w:rPr>
            </w:pPr>
          </w:p>
        </w:tc>
        <w:tc>
          <w:tcPr>
            <w:tcW w:w="1971" w:type="dxa"/>
            <w:shd w:val="clear" w:color="auto" w:fill="auto"/>
          </w:tcPr>
          <w:p w:rsidR="00B50D7C" w:rsidRDefault="00B50D7C">
            <w:pPr>
              <w:spacing w:after="0" w:line="276" w:lineRule="auto"/>
              <w:rPr>
                <w:rFonts w:ascii="Times New Roman" w:eastAsia="Times New Roman" w:hAnsi="Times New Roman" w:cs="Times New Roman"/>
                <w:sz w:val="24"/>
                <w:szCs w:val="24"/>
              </w:rPr>
            </w:pPr>
          </w:p>
        </w:tc>
      </w:tr>
    </w:tbl>
    <w:p w:rsidR="00B50D7C" w:rsidRDefault="00474535">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 xml:space="preserve">                        </w:t>
      </w:r>
    </w:p>
    <w:p w:rsidR="00B50D7C" w:rsidRDefault="00474535">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Стратегічні цілі та завдання</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Підготовка кваліфікованих кадрів відповідно до потреб регіонального ринку праці.</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відповідність змісту навчальних програм потребам роботодавців – замовників робітничих кадрів та вступників.</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Покращення надання освітніх послуг. Розвиток професійної компетентності педагогічних працівників.</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Модернізація матеріально-технічної бази училища.</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Оновлення моделі професійного навчання.</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Посилення профорієнтаційної роботи.</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Підвищення привабливості і престижності училища.</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Активізація виробничої діяльності і співпраці з роботодавцями.</w:t>
      </w:r>
    </w:p>
    <w:p w:rsidR="00B50D7C" w:rsidRDefault="00474535">
      <w:pPr>
        <w:numPr>
          <w:ilvl w:val="0"/>
          <w:numId w:val="2"/>
        </w:numPr>
        <w:pBdr>
          <w:top w:val="nil"/>
          <w:left w:val="nil"/>
          <w:bottom w:val="nil"/>
          <w:right w:val="nil"/>
          <w:between w:val="nil"/>
        </w:pBdr>
        <w:spacing w:after="0" w:line="276" w:lineRule="auto"/>
        <w:ind w:left="284"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Удосконалення системи виховної роботи училища.</w:t>
      </w:r>
    </w:p>
    <w:p w:rsidR="00B50D7C" w:rsidRDefault="00474535">
      <w:pPr>
        <w:spacing w:after="0" w:line="276" w:lineRule="auto"/>
        <w:ind w:hanging="1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«Центр кар’єри»</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закладі освіти працює Центр кар’єри. В  2022-2023 навчальному році  було проведено великий обсяг роботи, а саме: </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Підписано меморандум про співпрацю з міським центром зайнятості</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Проведені екскурсії на підприємства міста та області</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Проведені дні відкритих дверей в закладі освіти</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Проведено тижні професій та конкурси фахової майстерності</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Взяли участь у </w:t>
      </w:r>
      <w:proofErr w:type="spellStart"/>
      <w:r>
        <w:rPr>
          <w:rFonts w:ascii="Times New Roman" w:eastAsia="Times New Roman" w:hAnsi="Times New Roman" w:cs="Times New Roman"/>
          <w:sz w:val="28"/>
          <w:szCs w:val="28"/>
        </w:rPr>
        <w:t>Воркшопі</w:t>
      </w:r>
      <w:proofErr w:type="spellEnd"/>
      <w:r>
        <w:rPr>
          <w:rFonts w:ascii="Times New Roman" w:eastAsia="Times New Roman" w:hAnsi="Times New Roman" w:cs="Times New Roman"/>
          <w:sz w:val="28"/>
          <w:szCs w:val="28"/>
        </w:rPr>
        <w:t xml:space="preserve"> з «Організація роботи кар’єрного центру» та </w:t>
      </w:r>
      <w:proofErr w:type="spellStart"/>
      <w:r>
        <w:rPr>
          <w:rFonts w:ascii="Times New Roman" w:eastAsia="Times New Roman" w:hAnsi="Times New Roman" w:cs="Times New Roman"/>
          <w:sz w:val="28"/>
          <w:szCs w:val="28"/>
        </w:rPr>
        <w:t>вебінарі</w:t>
      </w:r>
      <w:proofErr w:type="spellEnd"/>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«Профорієнтація у період воєнного стану»; в обласних виставках-конкурсах «Технічний дизайн» та «Наш пошук і творчість -тобі, Україно!»</w:t>
      </w:r>
    </w:p>
    <w:p w:rsidR="00B50D7C" w:rsidRDefault="00474535">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Шляхи реалізації стратегії розвитку</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Розробка та реалізація цільових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Підвищення ступеня відкритості закладу, висвітлення діяльності педагогічного колективу на сайті.</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3.Залучення підприємств – замовників кадрів до модернізації обладнання, впровадження сучасних  виробничих технологій, створення нових навчально- виробничих підприємницьких структур;</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Фінансове забезпечення реалізації Стратегічного плану може здійснюватися за рахунок:</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фінансових надходжень до спеціального фонду училища;</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фінансування за рахунок субвенції на створення навчально- практичних центрів сучасної П(ПТ)О;</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коштів Державного фонду регіонального розвитку;</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залучення фінансування від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та програм міжнародної технічної допомоги</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суб‘єктами місцевого розвитку різних організаційно-правових форм;</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залучення </w:t>
      </w:r>
      <w:proofErr w:type="spellStart"/>
      <w:r>
        <w:rPr>
          <w:rFonts w:ascii="Times New Roman" w:eastAsia="Times New Roman" w:hAnsi="Times New Roman" w:cs="Times New Roman"/>
          <w:sz w:val="28"/>
          <w:szCs w:val="28"/>
        </w:rPr>
        <w:t>співфінансування</w:t>
      </w:r>
      <w:proofErr w:type="spellEnd"/>
      <w:r>
        <w:rPr>
          <w:rFonts w:ascii="Times New Roman" w:eastAsia="Times New Roman" w:hAnsi="Times New Roman" w:cs="Times New Roman"/>
          <w:sz w:val="28"/>
          <w:szCs w:val="28"/>
        </w:rPr>
        <w:t xml:space="preserve"> від недержавних підприємств, установ, організацій.</w:t>
      </w:r>
    </w:p>
    <w:p w:rsidR="00B50D7C" w:rsidRDefault="00B50D7C">
      <w:pPr>
        <w:spacing w:after="0" w:line="276" w:lineRule="auto"/>
        <w:jc w:val="both"/>
        <w:rPr>
          <w:rFonts w:ascii="Times New Roman" w:eastAsia="Times New Roman" w:hAnsi="Times New Roman" w:cs="Times New Roman"/>
          <w:sz w:val="28"/>
          <w:szCs w:val="28"/>
        </w:rPr>
      </w:pP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Івано-Франківського </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вищого професійного училища</w:t>
      </w:r>
    </w:p>
    <w:p w:rsidR="00B50D7C" w:rsidRDefault="00474535">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сервісного обслуговування техніки           </w:t>
      </w:r>
      <w:r w:rsidR="006148E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Роман ДУТКЕВИЧ </w:t>
      </w:r>
    </w:p>
    <w:sectPr w:rsidR="00B50D7C" w:rsidSect="000D0E7A">
      <w:headerReference w:type="default" r:id="rId8"/>
      <w:footerReference w:type="default" r:id="rId9"/>
      <w:headerReference w:type="first" r:id="rId10"/>
      <w:footerReference w:type="first" r:id="rId11"/>
      <w:pgSz w:w="12240" w:h="15840"/>
      <w:pgMar w:top="1134" w:right="567" w:bottom="1134" w:left="1985"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B93" w:rsidRDefault="00736B93" w:rsidP="00B50D7C">
      <w:pPr>
        <w:spacing w:after="0" w:line="240" w:lineRule="auto"/>
      </w:pPr>
      <w:r>
        <w:separator/>
      </w:r>
    </w:p>
  </w:endnote>
  <w:endnote w:type="continuationSeparator" w:id="0">
    <w:p w:rsidR="00736B93" w:rsidRDefault="00736B93" w:rsidP="00B50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Neue">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D7C" w:rsidRDefault="00B50D7C">
    <w:pPr>
      <w:pBdr>
        <w:top w:val="nil"/>
        <w:left w:val="nil"/>
        <w:bottom w:val="nil"/>
        <w:right w:val="nil"/>
        <w:between w:val="nil"/>
      </w:pBdr>
      <w:tabs>
        <w:tab w:val="center" w:pos="4844"/>
        <w:tab w:val="right" w:pos="9689"/>
      </w:tabs>
      <w:spacing w:after="0" w:line="240" w:lineRule="auto"/>
      <w:jc w:val="center"/>
      <w:rPr>
        <w:color w:val="000000"/>
      </w:rPr>
    </w:pPr>
  </w:p>
  <w:p w:rsidR="00B50D7C" w:rsidRDefault="00B50D7C">
    <w:pPr>
      <w:pBdr>
        <w:top w:val="nil"/>
        <w:left w:val="nil"/>
        <w:bottom w:val="nil"/>
        <w:right w:val="nil"/>
        <w:between w:val="nil"/>
      </w:pBdr>
      <w:tabs>
        <w:tab w:val="center" w:pos="4844"/>
        <w:tab w:val="right" w:pos="9689"/>
      </w:tabs>
      <w:spacing w:after="0" w:line="240" w:lineRule="auto"/>
      <w:rPr>
        <w:color w:val="000000"/>
      </w:rPr>
    </w:pPr>
  </w:p>
  <w:p w:rsidR="00B50D7C" w:rsidRDefault="00B50D7C">
    <w:pPr>
      <w:pBdr>
        <w:top w:val="nil"/>
        <w:left w:val="nil"/>
        <w:bottom w:val="nil"/>
        <w:right w:val="nil"/>
        <w:between w:val="nil"/>
      </w:pBdr>
      <w:tabs>
        <w:tab w:val="center" w:pos="4844"/>
        <w:tab w:val="right" w:pos="9689"/>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D7C" w:rsidRDefault="00B50D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B93" w:rsidRDefault="00736B93" w:rsidP="00B50D7C">
      <w:pPr>
        <w:spacing w:after="0" w:line="240" w:lineRule="auto"/>
      </w:pPr>
      <w:r>
        <w:separator/>
      </w:r>
    </w:p>
  </w:footnote>
  <w:footnote w:type="continuationSeparator" w:id="0">
    <w:p w:rsidR="00736B93" w:rsidRDefault="00736B93" w:rsidP="00B50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D7C" w:rsidRDefault="00B50D7C">
    <w:pPr>
      <w:pBdr>
        <w:top w:val="nil"/>
        <w:left w:val="nil"/>
        <w:bottom w:val="nil"/>
        <w:right w:val="nil"/>
        <w:between w:val="nil"/>
      </w:pBdr>
      <w:tabs>
        <w:tab w:val="center" w:pos="4844"/>
        <w:tab w:val="right" w:pos="9689"/>
      </w:tabs>
      <w:spacing w:after="0" w:line="240" w:lineRule="auto"/>
      <w:rPr>
        <w:color w:val="000000"/>
      </w:rPr>
    </w:pPr>
  </w:p>
  <w:p w:rsidR="00B50D7C" w:rsidRDefault="00B50D7C">
    <w:pPr>
      <w:pBdr>
        <w:top w:val="nil"/>
        <w:left w:val="nil"/>
        <w:bottom w:val="nil"/>
        <w:right w:val="nil"/>
        <w:between w:val="nil"/>
      </w:pBdr>
      <w:tabs>
        <w:tab w:val="center" w:pos="4844"/>
        <w:tab w:val="right" w:pos="9689"/>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D7C" w:rsidRDefault="00B50D7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32A8A"/>
    <w:multiLevelType w:val="multilevel"/>
    <w:tmpl w:val="93E40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9EC643E"/>
    <w:multiLevelType w:val="multilevel"/>
    <w:tmpl w:val="D8B8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B7506E1"/>
    <w:multiLevelType w:val="multilevel"/>
    <w:tmpl w:val="4BAECA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D7C"/>
    <w:rsid w:val="000D0E7A"/>
    <w:rsid w:val="002D47E8"/>
    <w:rsid w:val="004157A5"/>
    <w:rsid w:val="00474535"/>
    <w:rsid w:val="006148E3"/>
    <w:rsid w:val="006F3CEB"/>
    <w:rsid w:val="00736B93"/>
    <w:rsid w:val="008F7142"/>
    <w:rsid w:val="00B50D7C"/>
    <w:rsid w:val="00D9622F"/>
    <w:rsid w:val="00F516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638F5E-12B8-4089-A063-1B1F2B5E9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D7C"/>
  </w:style>
  <w:style w:type="paragraph" w:styleId="1">
    <w:name w:val="heading 1"/>
    <w:basedOn w:val="10"/>
    <w:next w:val="10"/>
    <w:rsid w:val="00B50D7C"/>
    <w:pPr>
      <w:keepNext/>
      <w:keepLines/>
      <w:spacing w:before="480" w:after="120"/>
      <w:outlineLvl w:val="0"/>
    </w:pPr>
    <w:rPr>
      <w:b/>
      <w:sz w:val="48"/>
      <w:szCs w:val="48"/>
    </w:rPr>
  </w:style>
  <w:style w:type="paragraph" w:styleId="2">
    <w:name w:val="heading 2"/>
    <w:basedOn w:val="10"/>
    <w:next w:val="10"/>
    <w:rsid w:val="00B50D7C"/>
    <w:pPr>
      <w:keepNext/>
      <w:keepLines/>
      <w:spacing w:before="360" w:after="80"/>
      <w:outlineLvl w:val="1"/>
    </w:pPr>
    <w:rPr>
      <w:b/>
      <w:sz w:val="36"/>
      <w:szCs w:val="36"/>
    </w:rPr>
  </w:style>
  <w:style w:type="paragraph" w:styleId="3">
    <w:name w:val="heading 3"/>
    <w:basedOn w:val="10"/>
    <w:next w:val="10"/>
    <w:rsid w:val="00B50D7C"/>
    <w:pPr>
      <w:keepNext/>
      <w:keepLines/>
      <w:spacing w:before="280" w:after="80"/>
      <w:outlineLvl w:val="2"/>
    </w:pPr>
    <w:rPr>
      <w:b/>
      <w:sz w:val="28"/>
      <w:szCs w:val="28"/>
    </w:rPr>
  </w:style>
  <w:style w:type="paragraph" w:styleId="4">
    <w:name w:val="heading 4"/>
    <w:basedOn w:val="10"/>
    <w:next w:val="10"/>
    <w:rsid w:val="00B50D7C"/>
    <w:pPr>
      <w:keepNext/>
      <w:keepLines/>
      <w:spacing w:before="240" w:after="40"/>
      <w:outlineLvl w:val="3"/>
    </w:pPr>
    <w:rPr>
      <w:b/>
      <w:sz w:val="24"/>
      <w:szCs w:val="24"/>
    </w:rPr>
  </w:style>
  <w:style w:type="paragraph" w:styleId="5">
    <w:name w:val="heading 5"/>
    <w:basedOn w:val="10"/>
    <w:next w:val="10"/>
    <w:rsid w:val="00B50D7C"/>
    <w:pPr>
      <w:keepNext/>
      <w:keepLines/>
      <w:spacing w:before="220" w:after="40"/>
      <w:outlineLvl w:val="4"/>
    </w:pPr>
    <w:rPr>
      <w:b/>
    </w:rPr>
  </w:style>
  <w:style w:type="paragraph" w:styleId="6">
    <w:name w:val="heading 6"/>
    <w:basedOn w:val="10"/>
    <w:next w:val="10"/>
    <w:rsid w:val="00B50D7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B50D7C"/>
  </w:style>
  <w:style w:type="table" w:customStyle="1" w:styleId="TableNormal">
    <w:name w:val="Table Normal"/>
    <w:rsid w:val="00B50D7C"/>
    <w:tblPr>
      <w:tblCellMar>
        <w:top w:w="0" w:type="dxa"/>
        <w:left w:w="0" w:type="dxa"/>
        <w:bottom w:w="0" w:type="dxa"/>
        <w:right w:w="0" w:type="dxa"/>
      </w:tblCellMar>
    </w:tblPr>
  </w:style>
  <w:style w:type="paragraph" w:styleId="a3">
    <w:name w:val="Title"/>
    <w:basedOn w:val="10"/>
    <w:next w:val="10"/>
    <w:rsid w:val="00B50D7C"/>
    <w:pPr>
      <w:keepNext/>
      <w:keepLines/>
      <w:spacing w:before="480" w:after="120"/>
    </w:pPr>
    <w:rPr>
      <w:b/>
      <w:sz w:val="72"/>
      <w:szCs w:val="72"/>
    </w:rPr>
  </w:style>
  <w:style w:type="table" w:styleId="a4">
    <w:name w:val="Table Grid"/>
    <w:basedOn w:val="a1"/>
    <w:uiPriority w:val="39"/>
    <w:rsid w:val="00761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C5DDF"/>
    <w:pPr>
      <w:ind w:left="720"/>
      <w:contextualSpacing/>
    </w:pPr>
  </w:style>
  <w:style w:type="paragraph" w:styleId="a6">
    <w:name w:val="Normal (Web)"/>
    <w:basedOn w:val="a"/>
    <w:uiPriority w:val="99"/>
    <w:semiHidden/>
    <w:unhideWhenUsed/>
    <w:rsid w:val="00EC4FC8"/>
    <w:rPr>
      <w:rFonts w:ascii="Times New Roman" w:hAnsi="Times New Roman" w:cs="Times New Roman"/>
      <w:sz w:val="24"/>
      <w:szCs w:val="24"/>
    </w:rPr>
  </w:style>
  <w:style w:type="paragraph" w:styleId="a7">
    <w:name w:val="Balloon Text"/>
    <w:basedOn w:val="a"/>
    <w:link w:val="a8"/>
    <w:uiPriority w:val="99"/>
    <w:semiHidden/>
    <w:unhideWhenUsed/>
    <w:rsid w:val="006A6A6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A6A65"/>
    <w:rPr>
      <w:rFonts w:ascii="Segoe UI" w:hAnsi="Segoe UI" w:cs="Segoe UI"/>
      <w:sz w:val="18"/>
      <w:szCs w:val="18"/>
    </w:rPr>
  </w:style>
  <w:style w:type="paragraph" w:styleId="a9">
    <w:name w:val="header"/>
    <w:basedOn w:val="a"/>
    <w:link w:val="aa"/>
    <w:uiPriority w:val="99"/>
    <w:unhideWhenUsed/>
    <w:rsid w:val="00C44229"/>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C44229"/>
  </w:style>
  <w:style w:type="paragraph" w:styleId="ab">
    <w:name w:val="footer"/>
    <w:basedOn w:val="a"/>
    <w:link w:val="ac"/>
    <w:uiPriority w:val="99"/>
    <w:unhideWhenUsed/>
    <w:rsid w:val="00C44229"/>
    <w:pPr>
      <w:tabs>
        <w:tab w:val="center" w:pos="4844"/>
        <w:tab w:val="right" w:pos="9689"/>
      </w:tabs>
      <w:spacing w:after="0" w:line="240" w:lineRule="auto"/>
    </w:pPr>
  </w:style>
  <w:style w:type="character" w:customStyle="1" w:styleId="ac">
    <w:name w:val="Нижний колонтитул Знак"/>
    <w:basedOn w:val="a0"/>
    <w:link w:val="ab"/>
    <w:uiPriority w:val="99"/>
    <w:rsid w:val="00C44229"/>
  </w:style>
  <w:style w:type="paragraph" w:styleId="ad">
    <w:name w:val="Subtitle"/>
    <w:basedOn w:val="10"/>
    <w:next w:val="10"/>
    <w:rsid w:val="00B50D7C"/>
    <w:pPr>
      <w:keepNext/>
      <w:keepLines/>
      <w:spacing w:before="360" w:after="80"/>
    </w:pPr>
    <w:rPr>
      <w:rFonts w:ascii="Georgia" w:eastAsia="Georgia" w:hAnsi="Georgia" w:cs="Georgia"/>
      <w:i/>
      <w:color w:val="666666"/>
      <w:sz w:val="48"/>
      <w:szCs w:val="48"/>
    </w:rPr>
  </w:style>
  <w:style w:type="table" w:customStyle="1" w:styleId="ae">
    <w:basedOn w:val="TableNormal"/>
    <w:rsid w:val="00B50D7C"/>
    <w:pPr>
      <w:spacing w:after="0" w:line="240" w:lineRule="auto"/>
    </w:pPr>
    <w:tblPr>
      <w:tblStyleRowBandSize w:val="1"/>
      <w:tblStyleColBandSize w:val="1"/>
      <w:tblCellMar>
        <w:left w:w="108" w:type="dxa"/>
        <w:right w:w="108" w:type="dxa"/>
      </w:tblCellMar>
    </w:tblPr>
  </w:style>
  <w:style w:type="table" w:customStyle="1" w:styleId="af">
    <w:basedOn w:val="TableNormal"/>
    <w:rsid w:val="00B50D7C"/>
    <w:tblPr>
      <w:tblStyleRowBandSize w:val="1"/>
      <w:tblStyleColBandSize w:val="1"/>
      <w:tblCellMar>
        <w:left w:w="115" w:type="dxa"/>
        <w:right w:w="115" w:type="dxa"/>
      </w:tblCellMar>
    </w:tblPr>
  </w:style>
  <w:style w:type="table" w:customStyle="1" w:styleId="af0">
    <w:basedOn w:val="TableNormal"/>
    <w:rsid w:val="00B50D7C"/>
    <w:tblPr>
      <w:tblStyleRowBandSize w:val="1"/>
      <w:tblStyleColBandSize w:val="1"/>
      <w:tblCellMar>
        <w:left w:w="115" w:type="dxa"/>
        <w:right w:w="115" w:type="dxa"/>
      </w:tblCellMar>
    </w:tblPr>
  </w:style>
  <w:style w:type="table" w:customStyle="1" w:styleId="af1">
    <w:basedOn w:val="TableNormal"/>
    <w:rsid w:val="00B50D7C"/>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TsQprG6SbDt5pski7dyWUNusig==">CgMxLjA4AHIhMVlwc3ZaRmdpVk9kTFNqZ1NGbm5WMzhHYXByZ2w5aXlj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6442</Words>
  <Characters>3672</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VPY COT</dc:creator>
  <cp:lastModifiedBy>User</cp:lastModifiedBy>
  <cp:revision>2</cp:revision>
  <cp:lastPrinted>2024-03-19T13:56:00Z</cp:lastPrinted>
  <dcterms:created xsi:type="dcterms:W3CDTF">2024-03-28T08:43:00Z</dcterms:created>
  <dcterms:modified xsi:type="dcterms:W3CDTF">2024-03-28T08:43:00Z</dcterms:modified>
</cp:coreProperties>
</file>