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60D" w:rsidRPr="000D360D" w:rsidRDefault="000D360D" w:rsidP="000D360D">
      <w:pPr>
        <w:spacing w:after="0" w:line="240" w:lineRule="auto"/>
        <w:ind w:left="4820"/>
        <w:jc w:val="both"/>
        <w:rPr>
          <w:rFonts w:ascii="Times New Roman" w:eastAsia="Times New Roman" w:hAnsi="Times New Roman" w:cs="Times New Roman"/>
          <w:sz w:val="28"/>
          <w:szCs w:val="28"/>
          <w:lang w:val="ru-RU" w:eastAsia="ru-RU"/>
        </w:rPr>
      </w:pPr>
      <w:bookmarkStart w:id="0" w:name="_GoBack"/>
      <w:bookmarkEnd w:id="0"/>
    </w:p>
    <w:p w:rsidR="000D360D" w:rsidRPr="000D360D" w:rsidRDefault="000D360D" w:rsidP="000D360D">
      <w:pPr>
        <w:spacing w:after="0" w:line="240" w:lineRule="auto"/>
        <w:ind w:left="4820"/>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Додаток 2</w:t>
      </w:r>
    </w:p>
    <w:p w:rsidR="000D360D" w:rsidRPr="000D360D" w:rsidRDefault="000D360D" w:rsidP="000D360D">
      <w:pPr>
        <w:spacing w:after="0" w:line="240" w:lineRule="auto"/>
        <w:ind w:left="4820"/>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xml:space="preserve">до рішення виконавчого </w:t>
      </w:r>
    </w:p>
    <w:p w:rsidR="000D360D" w:rsidRPr="000D360D" w:rsidRDefault="000D360D" w:rsidP="000D360D">
      <w:pPr>
        <w:spacing w:after="0" w:line="240" w:lineRule="auto"/>
        <w:ind w:left="4820"/>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комітету міської ради</w:t>
      </w:r>
    </w:p>
    <w:p w:rsidR="000D360D" w:rsidRPr="000D360D" w:rsidRDefault="000D360D" w:rsidP="000D360D">
      <w:pPr>
        <w:spacing w:after="0" w:line="240" w:lineRule="auto"/>
        <w:ind w:left="4820"/>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від ________20</w:t>
      </w:r>
      <w:r w:rsidRPr="000D360D">
        <w:rPr>
          <w:rFonts w:ascii="Times New Roman" w:eastAsia="Times New Roman" w:hAnsi="Times New Roman" w:cs="Times New Roman"/>
          <w:sz w:val="28"/>
          <w:szCs w:val="28"/>
          <w:lang w:eastAsia="ru-RU"/>
        </w:rPr>
        <w:t>2</w:t>
      </w:r>
      <w:r w:rsidRPr="000D360D">
        <w:rPr>
          <w:rFonts w:ascii="Times New Roman" w:eastAsia="Times New Roman" w:hAnsi="Times New Roman" w:cs="Times New Roman"/>
          <w:sz w:val="28"/>
          <w:szCs w:val="28"/>
          <w:lang w:val="ru-RU" w:eastAsia="ru-RU"/>
        </w:rPr>
        <w:t xml:space="preserve">1р.№ __ </w:t>
      </w:r>
    </w:p>
    <w:p w:rsidR="000D360D" w:rsidRPr="000D360D" w:rsidRDefault="000D360D" w:rsidP="000D360D">
      <w:pPr>
        <w:spacing w:after="0" w:line="240" w:lineRule="auto"/>
        <w:ind w:left="4820"/>
        <w:jc w:val="both"/>
        <w:rPr>
          <w:rFonts w:ascii="Times New Roman" w:eastAsia="Times New Roman" w:hAnsi="Times New Roman" w:cs="Times New Roman"/>
          <w:sz w:val="28"/>
          <w:szCs w:val="28"/>
          <w:lang w:val="ru-RU" w:eastAsia="ru-RU"/>
        </w:rPr>
      </w:pPr>
    </w:p>
    <w:p w:rsidR="000D360D" w:rsidRPr="000D360D" w:rsidRDefault="000D360D" w:rsidP="000D360D">
      <w:pPr>
        <w:spacing w:after="0" w:line="240" w:lineRule="auto"/>
        <w:jc w:val="center"/>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Положення</w:t>
      </w:r>
    </w:p>
    <w:p w:rsidR="000D360D" w:rsidRPr="000D360D" w:rsidRDefault="000D360D" w:rsidP="000D360D">
      <w:pPr>
        <w:spacing w:after="0" w:line="240" w:lineRule="auto"/>
        <w:jc w:val="center"/>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eastAsia="ru-RU"/>
        </w:rPr>
        <w:t xml:space="preserve">про </w:t>
      </w:r>
      <w:r w:rsidRPr="000D360D">
        <w:rPr>
          <w:rFonts w:ascii="Times New Roman" w:eastAsia="Times New Roman" w:hAnsi="Times New Roman" w:cs="Times New Roman"/>
          <w:sz w:val="28"/>
          <w:szCs w:val="28"/>
          <w:lang w:val="ru-RU" w:eastAsia="ru-RU"/>
        </w:rPr>
        <w:t>комісію з питань формування пропозицій стосовно потреби в спрямуванні субвенції з державного бюджету місцевим бюджетам на про</w:t>
      </w:r>
      <w:r w:rsidRPr="000D360D">
        <w:rPr>
          <w:rFonts w:ascii="Times New Roman" w:eastAsia="Times New Roman" w:hAnsi="Times New Roman" w:cs="Times New Roman"/>
          <w:sz w:val="28"/>
          <w:szCs w:val="28"/>
          <w:lang w:eastAsia="ru-RU"/>
        </w:rPr>
        <w:t>є</w:t>
      </w:r>
      <w:r w:rsidRPr="000D360D">
        <w:rPr>
          <w:rFonts w:ascii="Times New Roman" w:eastAsia="Times New Roman" w:hAnsi="Times New Roman" w:cs="Times New Roman"/>
          <w:sz w:val="28"/>
          <w:szCs w:val="28"/>
          <w:lang w:val="ru-RU" w:eastAsia="ru-RU"/>
        </w:rPr>
        <w:t>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 - сиріт, дітей, позбавлених батьківського піклування, осіб з їх числа</w:t>
      </w:r>
    </w:p>
    <w:p w:rsidR="000D360D" w:rsidRPr="000D360D" w:rsidRDefault="000D360D" w:rsidP="000D360D">
      <w:pPr>
        <w:spacing w:after="0" w:line="240" w:lineRule="auto"/>
        <w:jc w:val="center"/>
        <w:rPr>
          <w:rFonts w:ascii="Times New Roman" w:eastAsia="Times New Roman" w:hAnsi="Times New Roman" w:cs="Times New Roman"/>
          <w:sz w:val="28"/>
          <w:szCs w:val="28"/>
          <w:lang w:val="ru-RU" w:eastAsia="ru-RU"/>
        </w:rPr>
      </w:pPr>
    </w:p>
    <w:p w:rsidR="000D360D" w:rsidRPr="000D360D" w:rsidRDefault="000D360D" w:rsidP="000D360D">
      <w:pPr>
        <w:spacing w:after="0" w:line="240" w:lineRule="auto"/>
        <w:jc w:val="center"/>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1. Загальні положення</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xml:space="preserve">1.1. Положення встановлює порядок діяльності комісії </w:t>
      </w:r>
      <w:r w:rsidRPr="000D360D">
        <w:rPr>
          <w:rFonts w:ascii="Times New Roman" w:eastAsia="Times New Roman" w:hAnsi="Times New Roman" w:cs="Times New Roman"/>
          <w:sz w:val="28"/>
          <w:szCs w:val="28"/>
          <w:lang w:eastAsia="ru-RU"/>
        </w:rPr>
        <w:t>з питань</w:t>
      </w:r>
      <w:r w:rsidRPr="000D360D">
        <w:rPr>
          <w:rFonts w:ascii="Times New Roman" w:eastAsia="Times New Roman" w:hAnsi="Times New Roman" w:cs="Times New Roman"/>
          <w:sz w:val="28"/>
          <w:szCs w:val="28"/>
          <w:lang w:val="ru-RU" w:eastAsia="ru-RU"/>
        </w:rPr>
        <w:t xml:space="preserve"> формування пропозицій стосовно потреби щодо спрямування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(далі – Комісія). </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Комісія є консультативно-дорадчим органом.</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1.2. У своїй діяльності Комісія керується Конституцією України та законами України, актами Верховної Ради України, Кабінету Міністрів України, наказами Міністерства соціальної політики України, іншими чинними нормативно-правовими актами та цим Положенням.</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1.3. Склад Комісії затверджується рішенням виконавчого комітету міської ради. Очолює Комісію міський голова.</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xml:space="preserve">1.4. До складу комісії входять представники виконавчих органів міської ради: Департаменту інфраструктури, житлової та комунальної політики, Департаменту соціальної політики, Департаменту правової політики, Департаменту освіти та науки, Департаменту містобудування та архітектури, </w:t>
      </w:r>
      <w:r w:rsidRPr="000D360D">
        <w:rPr>
          <w:rFonts w:ascii="Times New Roman" w:eastAsia="Times New Roman" w:hAnsi="Times New Roman" w:cs="Times New Roman"/>
          <w:sz w:val="28"/>
          <w:szCs w:val="28"/>
          <w:lang w:eastAsia="ru-RU"/>
        </w:rPr>
        <w:t>У</w:t>
      </w:r>
      <w:r w:rsidRPr="000D360D">
        <w:rPr>
          <w:rFonts w:ascii="Times New Roman" w:eastAsia="Times New Roman" w:hAnsi="Times New Roman" w:cs="Times New Roman"/>
          <w:sz w:val="28"/>
          <w:szCs w:val="28"/>
          <w:lang w:val="ru-RU" w:eastAsia="ru-RU"/>
        </w:rPr>
        <w:t xml:space="preserve">правління капітального будівництва, </w:t>
      </w:r>
      <w:r w:rsidRPr="000D360D">
        <w:rPr>
          <w:rFonts w:ascii="Times New Roman" w:eastAsia="Times New Roman" w:hAnsi="Times New Roman" w:cs="Times New Roman"/>
          <w:sz w:val="28"/>
          <w:szCs w:val="28"/>
          <w:lang w:eastAsia="ru-RU"/>
        </w:rPr>
        <w:t>Ф</w:t>
      </w:r>
      <w:r w:rsidRPr="000D360D">
        <w:rPr>
          <w:rFonts w:ascii="Times New Roman" w:eastAsia="Times New Roman" w:hAnsi="Times New Roman" w:cs="Times New Roman"/>
          <w:sz w:val="28"/>
          <w:szCs w:val="28"/>
          <w:lang w:val="ru-RU" w:eastAsia="ru-RU"/>
        </w:rPr>
        <w:t>інансового управління, міського Центру соціальних служб для сім’ї, дітей та молоді, а також уповноважені представники громадськості та інших установ (за згодою).</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xml:space="preserve">1.5. </w:t>
      </w:r>
      <w:r w:rsidRPr="000D360D">
        <w:rPr>
          <w:rFonts w:ascii="Times New Roman" w:eastAsia="Times New Roman" w:hAnsi="Times New Roman" w:cs="Times New Roman"/>
          <w:sz w:val="28"/>
          <w:szCs w:val="28"/>
          <w:lang w:eastAsia="ru-RU"/>
        </w:rPr>
        <w:t>Метою діяльності комісії є підготовка пропозицій, прийняття рішень щодо визначення напрямів та об’єктів використання субвенції з державного бюджету</w:t>
      </w:r>
      <w:r w:rsidRPr="000D360D">
        <w:rPr>
          <w:rFonts w:ascii="Times New Roman" w:eastAsia="Times New Roman" w:hAnsi="Times New Roman" w:cs="Times New Roman"/>
          <w:sz w:val="28"/>
          <w:szCs w:val="28"/>
          <w:lang w:val="ru-RU" w:eastAsia="ru-RU"/>
        </w:rPr>
        <w:t xml:space="preserve"> місцевим бюджетам на про</w:t>
      </w:r>
      <w:r w:rsidRPr="000D360D">
        <w:rPr>
          <w:rFonts w:ascii="Times New Roman" w:eastAsia="Times New Roman" w:hAnsi="Times New Roman" w:cs="Times New Roman"/>
          <w:sz w:val="28"/>
          <w:szCs w:val="28"/>
          <w:lang w:eastAsia="ru-RU"/>
        </w:rPr>
        <w:t>є</w:t>
      </w:r>
      <w:r w:rsidRPr="000D360D">
        <w:rPr>
          <w:rFonts w:ascii="Times New Roman" w:eastAsia="Times New Roman" w:hAnsi="Times New Roman" w:cs="Times New Roman"/>
          <w:sz w:val="28"/>
          <w:szCs w:val="28"/>
          <w:lang w:val="ru-RU" w:eastAsia="ru-RU"/>
        </w:rPr>
        <w:t>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sidRPr="000D360D">
        <w:rPr>
          <w:rFonts w:ascii="Times New Roman" w:eastAsia="Times New Roman" w:hAnsi="Times New Roman" w:cs="Times New Roman"/>
          <w:sz w:val="28"/>
          <w:szCs w:val="28"/>
          <w:lang w:eastAsia="ru-RU"/>
        </w:rPr>
        <w:t>, а також вирішення інших питань щодо використання зазаначеної субсидії</w:t>
      </w:r>
      <w:r w:rsidRPr="000D360D">
        <w:rPr>
          <w:rFonts w:ascii="Times New Roman" w:eastAsia="Times New Roman" w:hAnsi="Times New Roman" w:cs="Times New Roman"/>
          <w:sz w:val="28"/>
          <w:szCs w:val="28"/>
          <w:lang w:val="ru-RU" w:eastAsia="ru-RU"/>
        </w:rPr>
        <w:t xml:space="preserve"> відповідно до Порядку та умов, затверджен</w:t>
      </w:r>
      <w:r w:rsidRPr="000D360D">
        <w:rPr>
          <w:rFonts w:ascii="Times New Roman" w:eastAsia="Times New Roman" w:hAnsi="Times New Roman" w:cs="Times New Roman"/>
          <w:sz w:val="28"/>
          <w:szCs w:val="28"/>
          <w:lang w:eastAsia="ru-RU"/>
        </w:rPr>
        <w:t>их</w:t>
      </w:r>
      <w:r w:rsidRPr="000D360D">
        <w:rPr>
          <w:rFonts w:ascii="Times New Roman" w:eastAsia="Times New Roman" w:hAnsi="Times New Roman" w:cs="Times New Roman"/>
          <w:sz w:val="28"/>
          <w:szCs w:val="28"/>
          <w:lang w:val="ru-RU" w:eastAsia="ru-RU"/>
        </w:rPr>
        <w:t xml:space="preserve"> постановою Кабінету Міністрів України від 26 травня 2021 року № 615 (далі – Порядок та умови).</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lastRenderedPageBreak/>
        <w:t xml:space="preserve">1.6. Основною формою роботи Комісії є засідання, які скликаються її головою, а в разі його відсутності – заступником голови Комісії. </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Засідання Комісії веде голова, а в разі його відсутності – заступник голови Комісії.</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xml:space="preserve">У разі відсутності на засіданні голови Комісії, його заступника та/або секретаря члени Комісії шляхом голосування можуть обрати головуючого та секретаря засідання з числа присутніх на відповідному засіданні членів Комісії. </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1.7. Засідання Комісії є правочинним і таким, що відбулося, якщо на ньому присутня більш</w:t>
      </w:r>
      <w:r w:rsidRPr="000D360D">
        <w:rPr>
          <w:rFonts w:ascii="Times New Roman" w:eastAsia="Times New Roman" w:hAnsi="Times New Roman" w:cs="Times New Roman"/>
          <w:sz w:val="28"/>
          <w:szCs w:val="28"/>
          <w:lang w:eastAsia="ru-RU"/>
        </w:rPr>
        <w:t>,</w:t>
      </w:r>
      <w:r w:rsidRPr="000D360D">
        <w:rPr>
          <w:rFonts w:ascii="Times New Roman" w:eastAsia="Times New Roman" w:hAnsi="Times New Roman" w:cs="Times New Roman"/>
          <w:sz w:val="28"/>
          <w:szCs w:val="28"/>
          <w:lang w:val="ru-RU" w:eastAsia="ru-RU"/>
        </w:rPr>
        <w:t xml:space="preserve"> ніж половина його членів.</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xml:space="preserve">1.8. Рішення Комісії з питань, віднесених до її повноважень, вважаються схваленими, якщо за нього проголосувала більш як половина присутніх на її засіданні членів Комісії. </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1.9. Рішення Комісії оформлюється протоколом, який підписується всіма членами Комісії та подається виконавчому комітету Івано-Франківської міської ради для затвердження в установленому чинним законодавством України порядку не пізніше</w:t>
      </w:r>
      <w:r w:rsidRPr="000D360D">
        <w:rPr>
          <w:rFonts w:ascii="Times New Roman" w:eastAsia="Times New Roman" w:hAnsi="Times New Roman" w:cs="Times New Roman"/>
          <w:sz w:val="28"/>
          <w:szCs w:val="28"/>
          <w:lang w:eastAsia="ru-RU"/>
        </w:rPr>
        <w:t>,</w:t>
      </w:r>
      <w:r w:rsidRPr="000D360D">
        <w:rPr>
          <w:rFonts w:ascii="Times New Roman" w:eastAsia="Times New Roman" w:hAnsi="Times New Roman" w:cs="Times New Roman"/>
          <w:sz w:val="28"/>
          <w:szCs w:val="28"/>
          <w:lang w:val="ru-RU" w:eastAsia="ru-RU"/>
        </w:rPr>
        <w:t xml:space="preserve"> ніж через 10 календарних днів з дня його прийняття.</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2. Повноваження комісії</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2.1. Визначення потреби в субвенції за напрямами:</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нове будівництво приміщень для розміщення малих групових будинків, житла для дитячих будинків сімейного типу, капітальний ремонт/реконструкцію житла для дитячих будинків сімейного типу, яке перебуває в комунальній власності;</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продовження та завершення розпочатих у попередніх періодах робіт з будівництва приміщень для розміщення малих групових будинків, житла для дитячих будинків сімейного типу відповідно до проектної документації, затвердженої в установленому законодавством порядку;</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придбання житла у прийнятих в експлуатацію житлових будинках для дитячих будинків сімейного типу, соціального житла, житла для дітей-сиріт, дітей, позбавлених батьківського піклування, осіб з їх числа, зокрема дітей з інвалідністю, що перебувають на обліку громадян, які потребують поліпшення житлових умов (далі - особи);</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рецензування звітів про оцінку житла, яке придбавається на вторинному ринку;</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розроблення про</w:t>
      </w:r>
      <w:r w:rsidRPr="000D360D">
        <w:rPr>
          <w:rFonts w:ascii="Times New Roman" w:eastAsia="Times New Roman" w:hAnsi="Times New Roman" w:cs="Times New Roman"/>
          <w:sz w:val="28"/>
          <w:szCs w:val="28"/>
          <w:lang w:eastAsia="ru-RU"/>
        </w:rPr>
        <w:t>є</w:t>
      </w:r>
      <w:r w:rsidRPr="000D360D">
        <w:rPr>
          <w:rFonts w:ascii="Times New Roman" w:eastAsia="Times New Roman" w:hAnsi="Times New Roman" w:cs="Times New Roman"/>
          <w:sz w:val="28"/>
          <w:szCs w:val="28"/>
          <w:lang w:val="ru-RU" w:eastAsia="ru-RU"/>
        </w:rPr>
        <w:t>ктної документації на нове будівництво приміщень для розміщення малих групових будинків, на капітальний ремонт/реконструкцію житла для дитячих будинків сімейного типу;</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виплату грошової компенсації за належні для отримання житлові приміщення для осіб відповідно до Порядку виплати грошової компенсації за належні для отримання житлові приміщення для дітей-сиріт та дітей, позбавлених батьківського піклування, осіб з їх числа, затвердженого постановою Кабінету Міністрів України від 26 травня 2021 р. № 615 (далі - грошова компенсація);</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підтримку малих групових будинків відповідно до Порядку підтримки малих групових будинків, затвердженого постановою Кабінету Міністрів України від 26 травня 2021 р. № 615, передбаченими пунктом 4, з урахуванням умов, визначених пунктом 5 цих Порядку та умов, підготовка відповідних пропозицій з урахуванням пунктів 12 і 14 цих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2.2.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2.3. Затвердження списків осіб для виплати грошової компенсації із визначенням окремо щодо кожної особи обсягу такої компенсації. До загального списку не включаються особи, яким було виділено грошову компенсацію за рахунок субвенції у попередньому році.</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2.4. Погодження щодо:</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житлових об’єктів, які планується придбати для забезпечення житлом дитячих будинків сімейного типу, соціальним житлом, житлом для осіб, у тому числі за рахунок грошової компенсації;</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розроблення про</w:t>
      </w:r>
      <w:r w:rsidRPr="000D360D">
        <w:rPr>
          <w:rFonts w:ascii="Times New Roman" w:eastAsia="Times New Roman" w:hAnsi="Times New Roman" w:cs="Times New Roman"/>
          <w:sz w:val="28"/>
          <w:szCs w:val="28"/>
          <w:lang w:eastAsia="ru-RU"/>
        </w:rPr>
        <w:t>є</w:t>
      </w:r>
      <w:r w:rsidRPr="000D360D">
        <w:rPr>
          <w:rFonts w:ascii="Times New Roman" w:eastAsia="Times New Roman" w:hAnsi="Times New Roman" w:cs="Times New Roman"/>
          <w:sz w:val="28"/>
          <w:szCs w:val="28"/>
          <w:lang w:val="ru-RU" w:eastAsia="ru-RU"/>
        </w:rPr>
        <w:t>ктної документації на нове будівництво приміщень для розміщення малих групових будинків, капітальний ремонт/реконструкцію житла для дитячих будинків сімейного типу.</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2.5. Проведення перевірки щодо:</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наявності в дитини статусу дитини-сироти, дитини, позбавленої батьківського піклування, особи з їх числа;</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наявності в осіб, старших 23 років, підстав постановки на квартирний облік їх як дітей-сиріт, дітей, позбавлених батьківського піклування, осіб з їх числа;</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наявності документів про перебування особи на квартирному обліку;</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документів, що подаються для придбання житла, передбачених пунктом 11 цих Порядку та умов;</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обстеження стану житлового приміщення (будинку, квартири), що придбавається.</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2.6. Місцева комісія приймає рішення щодо обсягу потреби субвенції за напрямами, передбаченими пунктом 4, з урахуванням умов, передбачених пунктом 5 Порядку та умов, протягом 30 днів з дати набрання чинності цими Порядком та умовами. Рішення оформляється протоколом, який складається у двох примірниках, підписується всіма членами місцевої комісії та затверджується органом виконавчої влади або органом місцевого самоврядування (один примірник протоколу надсилається обласній державній дміністрації).</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3. Комісія має право</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3.1. Одержувати в установленому порядку від підприємств, установ, організацій усіх форм власності, розташованих на території міста, виконавчих органів Івано-Франківської міської ради, виконавчого комітету міської ради та Івано-Франківської обласної державної адміністрації, громадських організацій необхідну інформацію з питань, що належать до завдань комісії.</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3.2. Залучати в установленому порядку до участі в своїй роботі представників виконавчих органів міської ради.</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xml:space="preserve">3.3. Організовувати проведення нарад, засідань та інших заходів з приводу вирішення питань, пов’язаних із новим будівництвом приміщень, придбанням житла, виплатою грошової компенсації. </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3.4. Запрошувати на засідання юридичних і фізичних осіб для розгляду питань, які стосуються їх інтересів.</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4. Прикінцеві положення</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4.1. Положення про комісію, зміни до нього та склад затверджує виконавчий комітет Івано-Франківської міської ради.</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4.2. Інформація, яку було оприлюднено на засіданні комісії і яка є конфіденційною, не підлягає розголошенню згідно законодавства України.</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4.3. Про свою діяльність комісія інформує громадськість у засобах масової інформації.</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xml:space="preserve">Керуючий справами </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 xml:space="preserve">виконавчого комітету </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r w:rsidRPr="000D360D">
        <w:rPr>
          <w:rFonts w:ascii="Times New Roman" w:eastAsia="Times New Roman" w:hAnsi="Times New Roman" w:cs="Times New Roman"/>
          <w:sz w:val="28"/>
          <w:szCs w:val="28"/>
          <w:lang w:val="ru-RU" w:eastAsia="ru-RU"/>
        </w:rPr>
        <w:t>міської ради</w:t>
      </w:r>
      <w:r w:rsidRPr="000D360D">
        <w:rPr>
          <w:rFonts w:ascii="Times New Roman" w:eastAsia="Times New Roman" w:hAnsi="Times New Roman" w:cs="Times New Roman"/>
          <w:sz w:val="28"/>
          <w:szCs w:val="28"/>
          <w:lang w:val="ru-RU" w:eastAsia="ru-RU"/>
        </w:rPr>
        <w:tab/>
      </w:r>
      <w:r w:rsidRPr="000D360D">
        <w:rPr>
          <w:rFonts w:ascii="Times New Roman" w:eastAsia="Times New Roman" w:hAnsi="Times New Roman" w:cs="Times New Roman"/>
          <w:sz w:val="28"/>
          <w:szCs w:val="28"/>
          <w:lang w:val="ru-RU" w:eastAsia="ru-RU"/>
        </w:rPr>
        <w:tab/>
      </w:r>
      <w:r w:rsidRPr="000D360D">
        <w:rPr>
          <w:rFonts w:ascii="Times New Roman" w:eastAsia="Times New Roman" w:hAnsi="Times New Roman" w:cs="Times New Roman"/>
          <w:sz w:val="28"/>
          <w:szCs w:val="28"/>
          <w:lang w:val="ru-RU" w:eastAsia="ru-RU"/>
        </w:rPr>
        <w:tab/>
      </w:r>
      <w:r w:rsidRPr="000D360D">
        <w:rPr>
          <w:rFonts w:ascii="Times New Roman" w:eastAsia="Times New Roman" w:hAnsi="Times New Roman" w:cs="Times New Roman"/>
          <w:sz w:val="28"/>
          <w:szCs w:val="28"/>
          <w:lang w:val="ru-RU" w:eastAsia="ru-RU"/>
        </w:rPr>
        <w:tab/>
      </w:r>
      <w:r w:rsidRPr="000D360D">
        <w:rPr>
          <w:rFonts w:ascii="Times New Roman" w:eastAsia="Times New Roman" w:hAnsi="Times New Roman" w:cs="Times New Roman"/>
          <w:sz w:val="28"/>
          <w:szCs w:val="28"/>
          <w:lang w:val="ru-RU" w:eastAsia="ru-RU"/>
        </w:rPr>
        <w:tab/>
      </w:r>
      <w:r w:rsidRPr="000D360D">
        <w:rPr>
          <w:rFonts w:ascii="Times New Roman" w:eastAsia="Times New Roman" w:hAnsi="Times New Roman" w:cs="Times New Roman"/>
          <w:sz w:val="28"/>
          <w:szCs w:val="28"/>
          <w:lang w:val="ru-RU" w:eastAsia="ru-RU"/>
        </w:rPr>
        <w:tab/>
      </w:r>
      <w:r w:rsidRPr="000D360D">
        <w:rPr>
          <w:rFonts w:ascii="Times New Roman" w:eastAsia="Times New Roman" w:hAnsi="Times New Roman" w:cs="Times New Roman"/>
          <w:sz w:val="28"/>
          <w:szCs w:val="28"/>
          <w:lang w:val="ru-RU" w:eastAsia="ru-RU"/>
        </w:rPr>
        <w:tab/>
      </w:r>
      <w:r w:rsidRPr="000D360D">
        <w:rPr>
          <w:rFonts w:ascii="Times New Roman" w:eastAsia="Times New Roman" w:hAnsi="Times New Roman" w:cs="Times New Roman"/>
          <w:sz w:val="28"/>
          <w:szCs w:val="28"/>
          <w:lang w:val="ru-RU" w:eastAsia="ru-RU"/>
        </w:rPr>
        <w:tab/>
        <w:t>Ігор Шевчук</w:t>
      </w: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p>
    <w:p w:rsidR="000D360D" w:rsidRPr="000D360D" w:rsidRDefault="000D360D" w:rsidP="000D360D">
      <w:pPr>
        <w:spacing w:after="0" w:line="240" w:lineRule="auto"/>
        <w:jc w:val="both"/>
        <w:rPr>
          <w:rFonts w:ascii="Times New Roman" w:eastAsia="Times New Roman" w:hAnsi="Times New Roman" w:cs="Times New Roman"/>
          <w:sz w:val="28"/>
          <w:szCs w:val="28"/>
          <w:lang w:val="ru-RU" w:eastAsia="ru-RU"/>
        </w:rPr>
      </w:pPr>
    </w:p>
    <w:p w:rsidR="00A626F2" w:rsidRPr="000D360D" w:rsidRDefault="00A626F2" w:rsidP="000D360D">
      <w:pPr>
        <w:ind w:left="-142"/>
        <w:rPr>
          <w:lang w:val="ru-RU"/>
        </w:rPr>
      </w:pPr>
    </w:p>
    <w:sectPr w:rsidR="00A626F2" w:rsidRPr="000D360D" w:rsidSect="000D360D">
      <w:pgSz w:w="11906" w:h="16838"/>
      <w:pgMar w:top="850" w:right="850" w:bottom="850" w:left="212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C22"/>
    <w:rsid w:val="000D360D"/>
    <w:rsid w:val="005C3EA8"/>
    <w:rsid w:val="006F4C22"/>
    <w:rsid w:val="00A626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EE7A46-5C19-471A-9051-DA4370A2B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5678</Words>
  <Characters>3237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dcterms:created xsi:type="dcterms:W3CDTF">2021-07-02T11:14:00Z</dcterms:created>
  <dcterms:modified xsi:type="dcterms:W3CDTF">2021-07-02T11:14:00Z</dcterms:modified>
</cp:coreProperties>
</file>