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97D" w:rsidRPr="001E1B1C" w:rsidRDefault="007F397D" w:rsidP="007F397D">
      <w:pPr>
        <w:pStyle w:val="2"/>
        <w:spacing w:after="0" w:line="240" w:lineRule="auto"/>
        <w:ind w:left="0" w:right="140" w:firstLine="0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1E1B1C">
        <w:rPr>
          <w:rFonts w:ascii="Times New Roman" w:hAnsi="Times New Roman"/>
          <w:sz w:val="28"/>
          <w:szCs w:val="28"/>
          <w:lang w:val="uk-UA"/>
        </w:rPr>
        <w:t xml:space="preserve">   Додаток до рішення виконавчого комітету </w:t>
      </w:r>
    </w:p>
    <w:p w:rsidR="007F397D" w:rsidRPr="001E1B1C" w:rsidRDefault="007F397D" w:rsidP="007F397D">
      <w:pPr>
        <w:pStyle w:val="2"/>
        <w:spacing w:after="0" w:line="240" w:lineRule="auto"/>
        <w:ind w:left="0" w:right="140" w:firstLine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F397D" w:rsidRPr="001E1B1C" w:rsidRDefault="007F397D" w:rsidP="007F397D">
      <w:pPr>
        <w:pStyle w:val="2"/>
        <w:spacing w:after="0" w:line="240" w:lineRule="auto"/>
        <w:ind w:left="0" w:right="14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від                         </w:t>
      </w:r>
      <w:r w:rsidRPr="001E1B1C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7F397D" w:rsidRPr="00F1659A" w:rsidRDefault="007F397D" w:rsidP="007F397D">
      <w:pPr>
        <w:pStyle w:val="2"/>
        <w:spacing w:after="0" w:line="240" w:lineRule="auto"/>
        <w:ind w:left="0" w:right="140" w:firstLine="3675"/>
        <w:rPr>
          <w:rFonts w:ascii="Times New Roman" w:hAnsi="Times New Roman"/>
          <w:sz w:val="28"/>
          <w:szCs w:val="28"/>
          <w:lang w:val="uk-UA"/>
        </w:rPr>
      </w:pPr>
    </w:p>
    <w:p w:rsidR="007F397D" w:rsidRDefault="007F397D" w:rsidP="007F397D">
      <w:pPr>
        <w:pStyle w:val="2"/>
        <w:spacing w:after="0" w:line="240" w:lineRule="auto"/>
        <w:ind w:left="0" w:right="140" w:firstLine="3675"/>
        <w:rPr>
          <w:rFonts w:ascii="Times New Roman" w:hAnsi="Times New Roman"/>
          <w:sz w:val="28"/>
          <w:szCs w:val="28"/>
          <w:lang w:val="uk-UA"/>
        </w:rPr>
      </w:pPr>
    </w:p>
    <w:p w:rsidR="007F397D" w:rsidRPr="00DA48FA" w:rsidRDefault="007F397D" w:rsidP="007F397D">
      <w:pPr>
        <w:pStyle w:val="a7"/>
        <w:shd w:val="clear" w:color="auto" w:fill="FFFFFF"/>
        <w:spacing w:before="60" w:beforeAutospacing="0" w:after="60" w:afterAutospacing="0" w:line="330" w:lineRule="atLeast"/>
        <w:ind w:right="140" w:firstLine="562"/>
        <w:jc w:val="center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 w:rsidRPr="00DA48FA">
        <w:rPr>
          <w:color w:val="1D1D1B"/>
          <w:sz w:val="28"/>
          <w:szCs w:val="28"/>
          <w:bdr w:val="none" w:sz="0" w:space="0" w:color="auto" w:frame="1"/>
          <w:lang w:val="uk-UA"/>
        </w:rPr>
        <w:t>ПОЛОЖЕННЯ</w:t>
      </w:r>
    </w:p>
    <w:p w:rsidR="007F397D" w:rsidRDefault="007F397D" w:rsidP="007F397D">
      <w:pPr>
        <w:pStyle w:val="a7"/>
        <w:shd w:val="clear" w:color="auto" w:fill="FFFFFF"/>
        <w:spacing w:before="0" w:beforeAutospacing="0" w:after="0" w:afterAutospacing="0" w:line="330" w:lineRule="atLeast"/>
        <w:ind w:right="140" w:firstLine="425"/>
        <w:jc w:val="center"/>
        <w:textAlignment w:val="baseline"/>
        <w:rPr>
          <w:color w:val="000000"/>
          <w:sz w:val="28"/>
          <w:szCs w:val="28"/>
          <w:lang w:val="uk-UA"/>
        </w:rPr>
      </w:pP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>про</w:t>
      </w:r>
      <w:r w:rsidRPr="00851CCD">
        <w:rPr>
          <w:sz w:val="28"/>
          <w:szCs w:val="28"/>
          <w:lang w:val="uk-UA"/>
        </w:rPr>
        <w:t xml:space="preserve"> тимчасов</w:t>
      </w:r>
      <w:r w:rsidRPr="00CD65FF">
        <w:rPr>
          <w:sz w:val="28"/>
          <w:szCs w:val="28"/>
          <w:lang w:val="uk-UA"/>
        </w:rPr>
        <w:t>у</w:t>
      </w:r>
      <w:r w:rsidRPr="00851CCD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851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</w:t>
      </w:r>
      <w:r w:rsidRPr="00851CCD">
        <w:rPr>
          <w:sz w:val="28"/>
          <w:szCs w:val="28"/>
          <w:lang w:val="uk-UA"/>
        </w:rPr>
        <w:t>розгляду питань, які не врегульовані Положе</w:t>
      </w:r>
      <w:r>
        <w:rPr>
          <w:sz w:val="28"/>
          <w:szCs w:val="28"/>
          <w:lang w:val="uk-UA"/>
        </w:rPr>
        <w:t xml:space="preserve">нням про порядок загальної </w:t>
      </w:r>
      <w:r w:rsidRPr="00851CCD">
        <w:rPr>
          <w:sz w:val="28"/>
          <w:szCs w:val="28"/>
          <w:lang w:val="uk-UA"/>
        </w:rPr>
        <w:t>електронної ре</w:t>
      </w:r>
      <w:r>
        <w:rPr>
          <w:sz w:val="28"/>
          <w:szCs w:val="28"/>
          <w:lang w:val="uk-UA"/>
        </w:rPr>
        <w:t>єстрації дітей для зарахування</w:t>
      </w:r>
      <w:r w:rsidRPr="00851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їх до</w:t>
      </w:r>
      <w:r w:rsidRPr="00851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комунальних закладів дошкільної </w:t>
      </w:r>
      <w:r w:rsidRPr="00276EB0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 xml:space="preserve"> </w:t>
      </w:r>
      <w:r w:rsidRPr="00AA4251">
        <w:rPr>
          <w:color w:val="000000"/>
          <w:sz w:val="28"/>
          <w:szCs w:val="28"/>
          <w:lang w:val="uk-UA"/>
        </w:rPr>
        <w:t xml:space="preserve">населених пунктів, на які поширюється </w:t>
      </w:r>
    </w:p>
    <w:p w:rsidR="007F397D" w:rsidRPr="00AA4251" w:rsidRDefault="007F397D" w:rsidP="007F397D">
      <w:pPr>
        <w:pStyle w:val="a7"/>
        <w:shd w:val="clear" w:color="auto" w:fill="FFFFFF"/>
        <w:spacing w:before="0" w:beforeAutospacing="0" w:after="0" w:afterAutospacing="0" w:line="330" w:lineRule="atLeast"/>
        <w:ind w:right="140" w:firstLine="425"/>
        <w:jc w:val="center"/>
        <w:textAlignment w:val="baseline"/>
        <w:rPr>
          <w:b/>
          <w:sz w:val="28"/>
          <w:szCs w:val="28"/>
          <w:lang w:val="uk-UA"/>
        </w:rPr>
      </w:pPr>
      <w:r w:rsidRPr="00AA4251">
        <w:rPr>
          <w:color w:val="000000"/>
          <w:sz w:val="28"/>
          <w:szCs w:val="28"/>
          <w:lang w:val="uk-UA"/>
        </w:rPr>
        <w:t>юрисдикція Івано-Франківської  міської ради</w:t>
      </w:r>
    </w:p>
    <w:p w:rsidR="007F397D" w:rsidRPr="000F4D24" w:rsidRDefault="007F397D" w:rsidP="007F397D">
      <w:pPr>
        <w:pStyle w:val="a7"/>
        <w:shd w:val="clear" w:color="auto" w:fill="FFFFFF"/>
        <w:spacing w:before="60" w:beforeAutospacing="0" w:after="60" w:afterAutospacing="0" w:line="330" w:lineRule="atLeast"/>
        <w:ind w:right="140" w:firstLine="425"/>
        <w:jc w:val="center"/>
        <w:textAlignment w:val="baseline"/>
        <w:rPr>
          <w:b/>
          <w:bCs/>
          <w:color w:val="1D1D1B"/>
          <w:sz w:val="28"/>
          <w:szCs w:val="28"/>
          <w:lang w:val="uk-UA"/>
        </w:rPr>
      </w:pPr>
    </w:p>
    <w:p w:rsidR="007F397D" w:rsidRPr="00B4797D" w:rsidRDefault="007F397D" w:rsidP="007F397D">
      <w:pPr>
        <w:pStyle w:val="a7"/>
        <w:shd w:val="clear" w:color="auto" w:fill="FFFFFF"/>
        <w:spacing w:before="0" w:beforeAutospacing="0" w:after="0" w:afterAutospacing="0" w:line="330" w:lineRule="atLeast"/>
        <w:ind w:right="-2" w:firstLine="284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1</w:t>
      </w:r>
      <w:r w:rsidRPr="00D31A0D">
        <w:rPr>
          <w:sz w:val="28"/>
          <w:szCs w:val="28"/>
          <w:bdr w:val="none" w:sz="0" w:space="0" w:color="auto" w:frame="1"/>
          <w:lang w:val="uk-UA"/>
        </w:rPr>
        <w:t xml:space="preserve">. </w:t>
      </w:r>
      <w:r w:rsidRPr="00B4797D">
        <w:rPr>
          <w:sz w:val="28"/>
          <w:szCs w:val="28"/>
          <w:bdr w:val="none" w:sz="0" w:space="0" w:color="auto" w:frame="1"/>
          <w:lang w:val="uk-UA"/>
        </w:rPr>
        <w:t xml:space="preserve">Тимчасова комісія </w:t>
      </w:r>
      <w:r w:rsidRPr="00B4797D">
        <w:rPr>
          <w:sz w:val="28"/>
          <w:szCs w:val="28"/>
          <w:lang w:val="uk-UA"/>
        </w:rPr>
        <w:t xml:space="preserve">з розгляду питань, які не врегульовані Положенням про порядок загальної електронної реєстрації дітей для зарахування їх до комунальних закладів дошкільної освіти </w:t>
      </w:r>
      <w:r w:rsidRPr="00B4797D">
        <w:rPr>
          <w:color w:val="000000"/>
          <w:sz w:val="28"/>
          <w:szCs w:val="28"/>
          <w:lang w:val="uk-UA"/>
        </w:rPr>
        <w:t xml:space="preserve">населених пунктів, на які поширюється юрисдикція Івано-Франківської  міської ради (далі </w:t>
      </w:r>
      <w:r w:rsidRPr="00B4797D">
        <w:rPr>
          <w:sz w:val="28"/>
          <w:szCs w:val="28"/>
          <w:lang w:val="uk-UA"/>
        </w:rPr>
        <w:t>–</w:t>
      </w:r>
      <w:r w:rsidRPr="00B4797D">
        <w:rPr>
          <w:color w:val="000000"/>
          <w:sz w:val="28"/>
          <w:szCs w:val="28"/>
          <w:lang w:val="uk-UA"/>
        </w:rPr>
        <w:t xml:space="preserve"> Комісія) </w:t>
      </w:r>
      <w:r w:rsidRPr="00B4797D">
        <w:rPr>
          <w:sz w:val="28"/>
          <w:szCs w:val="28"/>
          <w:bdr w:val="none" w:sz="0" w:space="0" w:color="auto" w:frame="1"/>
          <w:lang w:val="uk-UA"/>
        </w:rPr>
        <w:t xml:space="preserve">у своїй діяльності керується Конституцією України, Сімейним і Цивільним кодексами України, Законами України “Про місцеве самоврядування в Україні”, “Про охорону дитинства”, “Про освіту”, </w:t>
      </w:r>
      <w:r w:rsidRPr="00B4797D">
        <w:rPr>
          <w:sz w:val="28"/>
          <w:szCs w:val="28"/>
          <w:highlight w:val="white"/>
          <w:lang w:val="uk-UA"/>
        </w:rPr>
        <w:t xml:space="preserve">«Про дошкільну освіту», </w:t>
      </w:r>
      <w:r w:rsidRPr="00B4797D">
        <w:rPr>
          <w:color w:val="000000"/>
          <w:sz w:val="28"/>
          <w:szCs w:val="28"/>
          <w:highlight w:val="white"/>
          <w:lang w:val="uk-UA"/>
        </w:rPr>
        <w:t xml:space="preserve">Положенням про дошкільний навчальний заклад, </w:t>
      </w:r>
      <w:r w:rsidRPr="00B4797D">
        <w:rPr>
          <w:sz w:val="28"/>
          <w:szCs w:val="28"/>
          <w:lang w:val="uk-UA"/>
        </w:rPr>
        <w:t xml:space="preserve">Положенням про порядок загальної електронної реєстрації дітей для зарахування їх до комунальних закладів дошкільної освіти </w:t>
      </w:r>
      <w:r w:rsidRPr="00B4797D">
        <w:rPr>
          <w:color w:val="000000"/>
          <w:sz w:val="28"/>
          <w:szCs w:val="28"/>
          <w:lang w:val="uk-UA"/>
        </w:rPr>
        <w:t xml:space="preserve">населених пунктів, на які поширюється юрисдикція </w:t>
      </w:r>
      <w:r w:rsidRPr="00B4797D">
        <w:rPr>
          <w:sz w:val="28"/>
          <w:szCs w:val="28"/>
          <w:lang w:val="uk-UA"/>
        </w:rPr>
        <w:t xml:space="preserve">Івано-Франківської міської ради </w:t>
      </w:r>
      <w:r w:rsidRPr="00B4797D">
        <w:rPr>
          <w:color w:val="000000"/>
          <w:sz w:val="28"/>
          <w:szCs w:val="28"/>
          <w:lang w:val="uk-UA"/>
        </w:rPr>
        <w:t xml:space="preserve">(рішення </w:t>
      </w:r>
      <w:r w:rsidRPr="00B4797D">
        <w:rPr>
          <w:sz w:val="28"/>
          <w:szCs w:val="28"/>
          <w:lang w:val="uk-UA"/>
        </w:rPr>
        <w:t>Івано-Франківської міської ради</w:t>
      </w:r>
      <w:r w:rsidRPr="00B4797D">
        <w:rPr>
          <w:color w:val="000000"/>
          <w:sz w:val="28"/>
          <w:szCs w:val="28"/>
          <w:lang w:val="uk-UA"/>
        </w:rPr>
        <w:t xml:space="preserve"> від 19.06.2020р. № 163/41)</w:t>
      </w:r>
      <w:r w:rsidRPr="00B4797D">
        <w:rPr>
          <w:sz w:val="28"/>
          <w:szCs w:val="28"/>
          <w:lang w:val="uk-UA"/>
        </w:rPr>
        <w:t>.</w:t>
      </w:r>
    </w:p>
    <w:p w:rsidR="007F397D" w:rsidRPr="00D31A0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2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. Основним завданням комісії є сприяння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у 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>забезпеченн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і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реалізації прав дитини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на дошкільну освіту.</w:t>
      </w:r>
    </w:p>
    <w:p w:rsidR="007F397D" w:rsidRPr="00CD65FF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3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>. Комісія відповідно до покладених на неї завдань:</w:t>
      </w:r>
    </w:p>
    <w:p w:rsidR="007F397D" w:rsidRPr="006375F9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а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>)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розглядає питання, у тому числі спірні, які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не врегульовані </w:t>
      </w:r>
      <w:r w:rsidRPr="006375F9">
        <w:rPr>
          <w:sz w:val="28"/>
          <w:szCs w:val="28"/>
          <w:lang w:val="uk-UA"/>
        </w:rPr>
        <w:t>Положенням</w:t>
      </w:r>
      <w:r w:rsidRPr="009C4B7A">
        <w:rPr>
          <w:sz w:val="28"/>
          <w:szCs w:val="28"/>
          <w:lang w:val="uk-UA"/>
        </w:rPr>
        <w:t xml:space="preserve"> </w:t>
      </w:r>
      <w:r w:rsidRPr="00D31A0D">
        <w:rPr>
          <w:sz w:val="28"/>
          <w:szCs w:val="28"/>
          <w:lang w:val="uk-UA"/>
        </w:rPr>
        <w:t>про порядок загальної електронної реєстрації</w:t>
      </w:r>
      <w:r>
        <w:rPr>
          <w:sz w:val="28"/>
          <w:szCs w:val="28"/>
          <w:lang w:val="uk-UA"/>
        </w:rPr>
        <w:t xml:space="preserve"> дітей для зарахування їх до</w:t>
      </w:r>
      <w:r w:rsidRPr="000F4D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комунальних закладів </w:t>
      </w:r>
      <w:r w:rsidRPr="00276EB0">
        <w:rPr>
          <w:sz w:val="28"/>
          <w:szCs w:val="28"/>
          <w:lang w:val="uk-UA"/>
        </w:rPr>
        <w:t xml:space="preserve">дошкільної освіти </w:t>
      </w:r>
      <w:r>
        <w:rPr>
          <w:color w:val="000000"/>
          <w:sz w:val="28"/>
          <w:szCs w:val="28"/>
          <w:lang w:val="uk-UA"/>
        </w:rPr>
        <w:t xml:space="preserve">населених пунктів, на </w:t>
      </w:r>
      <w:r w:rsidRPr="00AA4251">
        <w:rPr>
          <w:color w:val="000000"/>
          <w:sz w:val="28"/>
          <w:szCs w:val="28"/>
          <w:lang w:val="uk-UA"/>
        </w:rPr>
        <w:t xml:space="preserve">які поширюється юрисдикція </w:t>
      </w:r>
      <w:r w:rsidRPr="00276EB0">
        <w:rPr>
          <w:sz w:val="28"/>
          <w:szCs w:val="28"/>
          <w:lang w:val="uk-UA"/>
        </w:rPr>
        <w:t>Івано-Франківської міської ради</w:t>
      </w:r>
      <w:r>
        <w:rPr>
          <w:sz w:val="28"/>
          <w:szCs w:val="28"/>
          <w:lang w:val="uk-UA"/>
        </w:rPr>
        <w:t xml:space="preserve"> (далі </w:t>
      </w:r>
      <w:r w:rsidRPr="001479B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Положення про реєстрацію)</w:t>
      </w:r>
      <w:r w:rsidRPr="006375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>потребують колегіального вирішення, зокрема: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- надання місця у закладі дошкільної освіти (далі </w:t>
      </w:r>
      <w:r w:rsidRPr="001479BE">
        <w:rPr>
          <w:sz w:val="28"/>
          <w:szCs w:val="28"/>
          <w:lang w:val="uk-UA"/>
        </w:rPr>
        <w:t>–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ЗДО) у позачерговому порядку для дитини, сім’я котрої перебуває у складних життєвих або інших обставинах (втрата одного з батьків, оформлення опіки над дитиною, взяття на облік для внутрішньо переміщених осіб тощо)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>;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- вирішення питань, пов’язаних із помилками при реєстрації чи внесенні змін до реєстру;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- вирішення питань при внесенні змін до планової мережі груп;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б) розглядає заяви та звернення громадян, що пов’язані з іншими питаннями прийому дітей до ЗДО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4</w:t>
      </w:r>
      <w:r w:rsidRPr="00DD3D5D">
        <w:rPr>
          <w:color w:val="1D1D1B"/>
          <w:sz w:val="28"/>
          <w:szCs w:val="28"/>
          <w:bdr w:val="none" w:sz="0" w:space="0" w:color="auto" w:frame="1"/>
          <w:lang w:val="uk-UA"/>
        </w:rPr>
        <w:t>. Комісія має право: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- </w:t>
      </w:r>
      <w:r w:rsidRPr="00DD3D5D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подавати пропозиції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про </w:t>
      </w:r>
      <w:r w:rsidRPr="00DD3D5D">
        <w:rPr>
          <w:color w:val="1D1D1B"/>
          <w:sz w:val="28"/>
          <w:szCs w:val="28"/>
          <w:bdr w:val="none" w:sz="0" w:space="0" w:color="auto" w:frame="1"/>
          <w:lang w:val="uk-UA"/>
        </w:rPr>
        <w:t>вжиття заходів до посадових осіб у разі недотримання ними законодавства про захист прав дітей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щодо здобуття дошкільної освіти;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- готувати пропозиції щодо удосконалення системи електронного обліку дітей 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дошкільного віку;</w:t>
      </w:r>
    </w:p>
    <w:p w:rsidR="007F397D" w:rsidRDefault="007F397D" w:rsidP="007F397D">
      <w:pPr>
        <w:tabs>
          <w:tab w:val="left" w:pos="426"/>
        </w:tabs>
        <w:ind w:right="-2" w:firstLine="284"/>
        <w:jc w:val="both"/>
      </w:pPr>
      <w:r w:rsidRPr="00276EB0">
        <w:rPr>
          <w:color w:val="1D1D1B"/>
          <w:bdr w:val="none" w:sz="0" w:space="0" w:color="auto" w:frame="1"/>
        </w:rPr>
        <w:tab/>
        <w:t xml:space="preserve">- ініціювати вивчення роботи ЗДО щодо дотримання ними порядку прийому </w:t>
      </w:r>
      <w:r>
        <w:rPr>
          <w:color w:val="1D1D1B"/>
          <w:bdr w:val="none" w:sz="0" w:space="0" w:color="auto" w:frame="1"/>
        </w:rPr>
        <w:t xml:space="preserve">дітей, що передбачені </w:t>
      </w:r>
      <w:r w:rsidRPr="00276EB0">
        <w:rPr>
          <w:color w:val="1D1D1B"/>
          <w:bdr w:val="none" w:sz="0" w:space="0" w:color="auto" w:frame="1"/>
        </w:rPr>
        <w:t>п. 4</w:t>
      </w:r>
      <w:r>
        <w:rPr>
          <w:color w:val="1D1D1B"/>
          <w:bdr w:val="none" w:sz="0" w:space="0" w:color="auto" w:frame="1"/>
        </w:rPr>
        <w:t>.</w:t>
      </w:r>
      <w:r w:rsidRPr="00276EB0">
        <w:rPr>
          <w:color w:val="1D1D1B"/>
          <w:bdr w:val="none" w:sz="0" w:space="0" w:color="auto" w:frame="1"/>
        </w:rPr>
        <w:t xml:space="preserve"> </w:t>
      </w:r>
      <w:r w:rsidRPr="00276EB0">
        <w:t>Положення</w:t>
      </w:r>
      <w:r>
        <w:t xml:space="preserve"> про реєстрацію</w:t>
      </w:r>
      <w:r w:rsidRPr="00276EB0">
        <w:t xml:space="preserve">. </w:t>
      </w:r>
    </w:p>
    <w:p w:rsidR="007F397D" w:rsidRPr="009C4B7A" w:rsidRDefault="007F397D" w:rsidP="007F397D">
      <w:pPr>
        <w:pStyle w:val="a7"/>
        <w:shd w:val="clear" w:color="auto" w:fill="FFFFFF"/>
        <w:spacing w:before="0" w:beforeAutospacing="0" w:after="0" w:afterAutospacing="0" w:line="330" w:lineRule="atLeast"/>
        <w:ind w:right="-2" w:firstLine="284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1D1D1B"/>
          <w:bdr w:val="none" w:sz="0" w:space="0" w:color="auto" w:frame="1"/>
          <w:lang w:val="uk-UA"/>
        </w:rPr>
        <w:t>5</w:t>
      </w:r>
      <w:r w:rsidRPr="00D31A0D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.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Склад комісії</w:t>
      </w:r>
      <w:r w:rsidRPr="00D31A0D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затверджується рішенням виконавчого комітету </w:t>
      </w:r>
      <w:r w:rsidRPr="00851CCD">
        <w:rPr>
          <w:sz w:val="28"/>
          <w:szCs w:val="28"/>
          <w:lang w:val="uk-UA"/>
        </w:rPr>
        <w:t>Івано-Франківської міської ради</w:t>
      </w:r>
      <w:r w:rsidRPr="00D31A0D">
        <w:rPr>
          <w:color w:val="1D1D1B"/>
          <w:sz w:val="28"/>
          <w:szCs w:val="28"/>
          <w:bdr w:val="none" w:sz="0" w:space="0" w:color="auto" w:frame="1"/>
          <w:lang w:val="uk-UA"/>
        </w:rPr>
        <w:t>.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6.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До складу комісії входить не менше 7 осіб: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- д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иректор Департаменту освіти та науки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– голова комісії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- головний спеціаліст ДОН з питань  електронного реєстру – секретар комісії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- представники виконавчих органів Івано-Франківської міської ради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- представники Департаменту освіти та науки 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- представники від закладів дошкільної освіти 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7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. Основною організаційною формою діяльності комісії є її засідання, які проводяться у разі потреби, але </w:t>
      </w:r>
      <w:r w:rsidRPr="00276EB0">
        <w:rPr>
          <w:sz w:val="28"/>
          <w:szCs w:val="28"/>
          <w:bdr w:val="none" w:sz="0" w:space="0" w:color="auto" w:frame="1"/>
          <w:lang w:val="uk-UA"/>
        </w:rPr>
        <w:t>не рідше</w:t>
      </w:r>
      <w:r>
        <w:rPr>
          <w:sz w:val="28"/>
          <w:szCs w:val="28"/>
          <w:bdr w:val="none" w:sz="0" w:space="0" w:color="auto" w:frame="1"/>
          <w:lang w:val="uk-UA"/>
        </w:rPr>
        <w:t>,</w:t>
      </w:r>
      <w:r w:rsidRPr="00276EB0">
        <w:rPr>
          <w:sz w:val="28"/>
          <w:szCs w:val="28"/>
          <w:bdr w:val="none" w:sz="0" w:space="0" w:color="auto" w:frame="1"/>
          <w:lang w:val="uk-UA"/>
        </w:rPr>
        <w:t xml:space="preserve"> ніж один раз на два місяці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8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 Засідання комісії є правомочним, якщо на ньому присутні не менш як дві третини від загальної кількості її членів.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9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 До участі у засіданнях комісії можуть запрошуватися представники підприємств, установ, організац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ій та громадяни, що є законними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представниками дитини.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10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 Комісія у межах своєї компетенції приймає рішення, організовує їх виконання.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11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 Усі рішення комісії оформляються протоколом, який підписується головою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та секретарем комісії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 Витяг із протоколу передається у ЗДО у 10-денний строк. За потреби (на вимогу заявника) витяг із протоколу видається на руки заявнику у цей же строк.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12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. Зарахування дітей до ЗДО на підставі рішення комісії, здійснюється після направлення протоколу у ЗДО, але не пізніше, як через місяць з дня проведення засідання. </w:t>
      </w:r>
    </w:p>
    <w:p w:rsidR="007F397D" w:rsidRPr="00880596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13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. Якщо заявник упродовж місяця з дня проведення засідання комісії не подав документи, необхідні для зарахування дитини у ЗДО, рішення комісії </w:t>
      </w:r>
      <w:r w:rsidRPr="00880596">
        <w:rPr>
          <w:sz w:val="28"/>
          <w:szCs w:val="28"/>
          <w:bdr w:val="none" w:sz="0" w:space="0" w:color="auto" w:frame="1"/>
          <w:lang w:val="uk-UA"/>
        </w:rPr>
        <w:t>вважається таким, що втратило чинність.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14</w:t>
      </w:r>
      <w:r w:rsidRPr="00DD3D5D">
        <w:rPr>
          <w:color w:val="1D1D1B"/>
          <w:sz w:val="28"/>
          <w:szCs w:val="28"/>
          <w:bdr w:val="none" w:sz="0" w:space="0" w:color="auto" w:frame="1"/>
          <w:lang w:val="uk-UA"/>
        </w:rPr>
        <w:t>. Рішення комісії приймається відкритим голосуванням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,</w:t>
      </w:r>
      <w:r w:rsidRPr="00DD3D5D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простою більшістю голосів членів комісії, присутніх на засіданні. У разі рівного розподілу голосів вирішальним є голос голови комісії.</w:t>
      </w:r>
    </w:p>
    <w:p w:rsidR="007F397D" w:rsidRDefault="007F397D" w:rsidP="007F397D">
      <w:pPr>
        <w:ind w:right="-2" w:firstLine="284"/>
        <w:jc w:val="both"/>
      </w:pPr>
      <w:r>
        <w:rPr>
          <w:color w:val="1D1D1B"/>
          <w:bdr w:val="none" w:sz="0" w:space="0" w:color="auto" w:frame="1"/>
        </w:rPr>
        <w:lastRenderedPageBreak/>
        <w:t xml:space="preserve">15. </w:t>
      </w:r>
      <w:r w:rsidRPr="00EF39D6">
        <w:t xml:space="preserve">Прийом та реєстрація заяв на комісію та подання документів здійснюється у Центрі надання адміністративних послуг м. Івано-Франківська </w:t>
      </w:r>
      <w:r>
        <w:t xml:space="preserve">(далі – ЦНАП) (м. Івано-Франківськ, вул. Незалежності,9) </w:t>
      </w:r>
      <w:r w:rsidRPr="00EF39D6">
        <w:t>спеціалістами з питань електронної реєстрації дітей дошкільного віку.</w:t>
      </w:r>
    </w:p>
    <w:p w:rsidR="007F397D" w:rsidRPr="00276EB0" w:rsidRDefault="007F397D" w:rsidP="007F397D">
      <w:pPr>
        <w:ind w:right="-2" w:firstLine="284"/>
        <w:jc w:val="both"/>
      </w:pPr>
      <w:r>
        <w:t xml:space="preserve">16. </w:t>
      </w:r>
      <w:r w:rsidRPr="00276EB0">
        <w:t>Для розгляду заяв на засіда</w:t>
      </w:r>
      <w:r>
        <w:t>нні комісії подаються документи</w:t>
      </w:r>
      <w:r w:rsidRPr="00276EB0">
        <w:t xml:space="preserve">: </w:t>
      </w:r>
    </w:p>
    <w:p w:rsidR="007F397D" w:rsidRPr="00276EB0" w:rsidRDefault="007F397D" w:rsidP="007F397D">
      <w:pPr>
        <w:tabs>
          <w:tab w:val="left" w:pos="567"/>
        </w:tabs>
        <w:ind w:right="-2" w:firstLine="284"/>
        <w:jc w:val="both"/>
      </w:pPr>
      <w:r w:rsidRPr="00276EB0">
        <w:t xml:space="preserve">- свідоцтво про народження дитини </w:t>
      </w:r>
    </w:p>
    <w:p w:rsidR="007F397D" w:rsidRPr="00276EB0" w:rsidRDefault="007F397D" w:rsidP="007F397D">
      <w:pPr>
        <w:tabs>
          <w:tab w:val="left" w:pos="567"/>
        </w:tabs>
        <w:ind w:right="-2" w:firstLine="284"/>
        <w:jc w:val="both"/>
      </w:pPr>
      <w:r w:rsidRPr="00276EB0">
        <w:t xml:space="preserve">- реєстраційна картка </w:t>
      </w:r>
    </w:p>
    <w:p w:rsidR="007F397D" w:rsidRPr="00276EB0" w:rsidRDefault="007F397D" w:rsidP="007F397D">
      <w:pPr>
        <w:tabs>
          <w:tab w:val="left" w:pos="567"/>
        </w:tabs>
        <w:ind w:right="-2" w:firstLine="284"/>
        <w:jc w:val="both"/>
      </w:pPr>
      <w:r>
        <w:t xml:space="preserve">- </w:t>
      </w:r>
      <w:r w:rsidRPr="00276EB0">
        <w:t>документ про реєстрацію місця проживання (сторінки з паспорта) або додаток 1.3 до паспорта нового зразка (І</w:t>
      </w:r>
      <w:r w:rsidRPr="00276EB0">
        <w:rPr>
          <w:lang w:val="en-US"/>
        </w:rPr>
        <w:t>D</w:t>
      </w:r>
      <w:r w:rsidRPr="00276EB0">
        <w:t xml:space="preserve"> картки)</w:t>
      </w:r>
    </w:p>
    <w:p w:rsidR="007F397D" w:rsidRPr="00276EB0" w:rsidRDefault="007F397D" w:rsidP="007F397D">
      <w:pPr>
        <w:tabs>
          <w:tab w:val="left" w:pos="567"/>
        </w:tabs>
        <w:ind w:right="-2" w:firstLine="284"/>
        <w:jc w:val="both"/>
      </w:pPr>
      <w:r w:rsidRPr="00276EB0">
        <w:t xml:space="preserve">- довідки  з місця роботи батьків </w:t>
      </w:r>
    </w:p>
    <w:p w:rsidR="007F397D" w:rsidRPr="00276EB0" w:rsidRDefault="007F397D" w:rsidP="007F397D">
      <w:pPr>
        <w:tabs>
          <w:tab w:val="left" w:pos="567"/>
        </w:tabs>
        <w:ind w:right="-2" w:firstLine="284"/>
        <w:jc w:val="both"/>
      </w:pPr>
      <w:r w:rsidRPr="00276EB0">
        <w:t xml:space="preserve">- документ, який підтверджує факт перебування сім’ї у складних життєвих </w:t>
      </w:r>
      <w:r>
        <w:t xml:space="preserve">або інших </w:t>
      </w:r>
      <w:r w:rsidRPr="00276EB0">
        <w:t>обставинах (наприклад, свідоцтво про смерть одного з батьків, свідоцтво про оформлення опіки над дитиною, довідка про взяття на облік для в</w:t>
      </w:r>
      <w:r>
        <w:t>нутрішньо переміщених осіб, тощо</w:t>
      </w:r>
      <w:r w:rsidRPr="00276EB0">
        <w:t>).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17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. До кожного засідання секретар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комісії готує списки заявників у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порядку поданих та зареєстрованих документів.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18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 Список поданих заяв та всі додані до них документи зберігаються у  ЦНАПі  упродовж 3 років.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19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 Голова, секретар та члени комісії беруть участь у її роботі на громадських засадах.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20.Організаційне 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забезпечення діяльності комісії здійснюється Департаментом освіти та науки Івано-Франківської міської ради.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Керуючий справами виконавчого</w:t>
      </w:r>
    </w:p>
    <w:p w:rsidR="007F397D" w:rsidRPr="0045325E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комітету міської ради                                                                     Ігор Шевчук</w:t>
      </w:r>
    </w:p>
    <w:p w:rsidR="007F397D" w:rsidRPr="00DD3D5D" w:rsidRDefault="007F397D" w:rsidP="007F397D">
      <w:pPr>
        <w:tabs>
          <w:tab w:val="left" w:pos="1815"/>
        </w:tabs>
        <w:ind w:right="-2" w:firstLine="284"/>
        <w:jc w:val="both"/>
      </w:pP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center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:rsidR="007F397D" w:rsidRPr="00D22C25" w:rsidRDefault="007F397D" w:rsidP="007F397D">
      <w:pPr>
        <w:ind w:right="-2" w:firstLine="284"/>
        <w:jc w:val="both"/>
      </w:pPr>
    </w:p>
    <w:p w:rsidR="007F397D" w:rsidRDefault="007F397D" w:rsidP="007F397D">
      <w:pPr>
        <w:ind w:right="-2" w:firstLine="284"/>
        <w:jc w:val="both"/>
      </w:pPr>
      <w:r w:rsidRPr="00D22C25">
        <w:tab/>
      </w:r>
      <w:r>
        <w:tab/>
      </w:r>
      <w:r>
        <w:tab/>
      </w:r>
      <w:r>
        <w:tab/>
      </w:r>
      <w:r>
        <w:tab/>
      </w:r>
      <w:r>
        <w:tab/>
      </w:r>
    </w:p>
    <w:p w:rsidR="007F397D" w:rsidRDefault="007F397D" w:rsidP="007F397D">
      <w:pPr>
        <w:ind w:right="-2" w:firstLine="284"/>
        <w:jc w:val="both"/>
      </w:pPr>
    </w:p>
    <w:p w:rsidR="007F397D" w:rsidRDefault="007F397D" w:rsidP="007F397D">
      <w:pPr>
        <w:tabs>
          <w:tab w:val="left" w:pos="1455"/>
        </w:tabs>
        <w:ind w:right="-2" w:firstLine="284"/>
        <w:jc w:val="both"/>
      </w:pPr>
    </w:p>
    <w:p w:rsidR="007F397D" w:rsidRDefault="007F397D" w:rsidP="007F397D">
      <w:pPr>
        <w:tabs>
          <w:tab w:val="left" w:pos="1455"/>
        </w:tabs>
        <w:ind w:right="-2" w:firstLine="284"/>
        <w:jc w:val="both"/>
      </w:pPr>
    </w:p>
    <w:p w:rsidR="007F397D" w:rsidRDefault="007F397D" w:rsidP="007F397D">
      <w:pPr>
        <w:tabs>
          <w:tab w:val="left" w:pos="1455"/>
        </w:tabs>
        <w:ind w:right="-2" w:firstLine="284"/>
        <w:jc w:val="both"/>
      </w:pPr>
    </w:p>
    <w:p w:rsidR="007F397D" w:rsidRDefault="007F397D" w:rsidP="007F397D">
      <w:pPr>
        <w:tabs>
          <w:tab w:val="left" w:pos="1455"/>
        </w:tabs>
        <w:ind w:right="-2" w:firstLine="284"/>
        <w:jc w:val="both"/>
      </w:pPr>
    </w:p>
    <w:p w:rsidR="007F397D" w:rsidRDefault="007F397D" w:rsidP="007F397D">
      <w:pPr>
        <w:ind w:right="-2" w:firstLine="284"/>
        <w:jc w:val="both"/>
      </w:pPr>
    </w:p>
    <w:p w:rsidR="007F397D" w:rsidRDefault="007F397D" w:rsidP="007F397D">
      <w:pPr>
        <w:ind w:right="-2" w:firstLine="284"/>
        <w:jc w:val="both"/>
      </w:pPr>
    </w:p>
    <w:p w:rsidR="007F397D" w:rsidRDefault="007F397D" w:rsidP="007F397D">
      <w:pPr>
        <w:ind w:right="-2" w:firstLine="284"/>
        <w:jc w:val="both"/>
      </w:pPr>
    </w:p>
    <w:p w:rsidR="007F397D" w:rsidRDefault="007F397D" w:rsidP="007F397D">
      <w:pPr>
        <w:ind w:right="-2" w:firstLine="284"/>
        <w:jc w:val="both"/>
      </w:pPr>
    </w:p>
    <w:p w:rsidR="007F397D" w:rsidRDefault="007F397D" w:rsidP="007F397D">
      <w:pPr>
        <w:ind w:right="-2" w:firstLine="284"/>
        <w:jc w:val="both"/>
      </w:pPr>
    </w:p>
    <w:p w:rsidR="007F397D" w:rsidRDefault="007F397D" w:rsidP="007F397D">
      <w:pPr>
        <w:ind w:right="-2" w:firstLine="284"/>
        <w:jc w:val="both"/>
      </w:pPr>
    </w:p>
    <w:p w:rsidR="007F397D" w:rsidRDefault="007F397D" w:rsidP="007F397D">
      <w:pPr>
        <w:pStyle w:val="a3"/>
        <w:tabs>
          <w:tab w:val="clear" w:pos="4677"/>
          <w:tab w:val="clear" w:pos="9355"/>
        </w:tabs>
        <w:ind w:right="-2" w:firstLine="284"/>
      </w:pPr>
    </w:p>
    <w:p w:rsidR="007F397D" w:rsidRDefault="007F397D" w:rsidP="007F397D">
      <w:pPr>
        <w:pStyle w:val="a3"/>
        <w:tabs>
          <w:tab w:val="clear" w:pos="4677"/>
          <w:tab w:val="clear" w:pos="9355"/>
        </w:tabs>
        <w:ind w:right="-2" w:firstLine="284"/>
      </w:pPr>
    </w:p>
    <w:p w:rsidR="007F397D" w:rsidRDefault="007F397D" w:rsidP="007F397D">
      <w:pPr>
        <w:pStyle w:val="a3"/>
        <w:tabs>
          <w:tab w:val="clear" w:pos="4677"/>
          <w:tab w:val="clear" w:pos="9355"/>
        </w:tabs>
        <w:ind w:right="-2" w:firstLine="284"/>
      </w:pPr>
    </w:p>
    <w:p w:rsidR="007F397D" w:rsidRDefault="007F397D" w:rsidP="007F397D">
      <w:pPr>
        <w:pStyle w:val="a3"/>
        <w:tabs>
          <w:tab w:val="clear" w:pos="4677"/>
          <w:tab w:val="clear" w:pos="9355"/>
        </w:tabs>
        <w:ind w:right="-2" w:firstLine="284"/>
      </w:pPr>
    </w:p>
    <w:p w:rsidR="007F397D" w:rsidRDefault="007F397D" w:rsidP="007F397D">
      <w:pPr>
        <w:pStyle w:val="a3"/>
        <w:tabs>
          <w:tab w:val="clear" w:pos="4677"/>
          <w:tab w:val="clear" w:pos="9355"/>
        </w:tabs>
        <w:ind w:right="-2" w:firstLine="284"/>
      </w:pPr>
    </w:p>
    <w:p w:rsidR="007F397D" w:rsidRDefault="007F397D" w:rsidP="007F397D">
      <w:pPr>
        <w:pStyle w:val="a3"/>
        <w:tabs>
          <w:tab w:val="clear" w:pos="4677"/>
          <w:tab w:val="clear" w:pos="9355"/>
        </w:tabs>
        <w:ind w:right="-2" w:firstLine="284"/>
      </w:pPr>
    </w:p>
    <w:p w:rsidR="007F397D" w:rsidRDefault="007F397D" w:rsidP="007F397D">
      <w:pPr>
        <w:pStyle w:val="a3"/>
        <w:tabs>
          <w:tab w:val="clear" w:pos="4677"/>
          <w:tab w:val="clear" w:pos="9355"/>
        </w:tabs>
        <w:ind w:right="-2" w:firstLine="284"/>
      </w:pPr>
    </w:p>
    <w:p w:rsidR="007F397D" w:rsidRDefault="007F397D" w:rsidP="007F397D">
      <w:pPr>
        <w:ind w:right="-2" w:firstLine="284"/>
        <w:jc w:val="both"/>
      </w:pPr>
    </w:p>
    <w:p w:rsidR="001D6CFA" w:rsidRDefault="001D6CFA"/>
    <w:sectPr w:rsidR="001D6CFA" w:rsidSect="00287B6E">
      <w:pgSz w:w="11906" w:h="16838"/>
      <w:pgMar w:top="1134" w:right="567" w:bottom="1134" w:left="1985" w:header="680" w:footer="68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2D9"/>
    <w:rsid w:val="001D6CFA"/>
    <w:rsid w:val="003F136A"/>
    <w:rsid w:val="005802D9"/>
    <w:rsid w:val="007F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0DE10-66A7-478C-A17F-05A1342D9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97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39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39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Абзац списку2"/>
    <w:basedOn w:val="a"/>
    <w:uiPriority w:val="99"/>
    <w:rsid w:val="007F397D"/>
    <w:pPr>
      <w:spacing w:after="200" w:line="276" w:lineRule="auto"/>
      <w:ind w:left="720" w:firstLine="567"/>
      <w:contextualSpacing/>
      <w:jc w:val="both"/>
    </w:pPr>
    <w:rPr>
      <w:rFonts w:ascii="Calibri" w:hAnsi="Calibri"/>
      <w:sz w:val="20"/>
      <w:szCs w:val="20"/>
      <w:lang w:val="en-US" w:eastAsia="en-US"/>
    </w:rPr>
  </w:style>
  <w:style w:type="paragraph" w:customStyle="1" w:styleId="a7">
    <w:name w:val="a7"/>
    <w:basedOn w:val="a"/>
    <w:uiPriority w:val="99"/>
    <w:rsid w:val="007F397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5">
    <w:name w:val="a"/>
    <w:basedOn w:val="a"/>
    <w:uiPriority w:val="99"/>
    <w:rsid w:val="007F397D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3652</Words>
  <Characters>2083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2020-10-16T06:54:00Z</dcterms:created>
  <dcterms:modified xsi:type="dcterms:W3CDTF">2020-10-16T06:54:00Z</dcterms:modified>
</cp:coreProperties>
</file>