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E8E" w:rsidRPr="00D8374B" w:rsidRDefault="00A204E9" w:rsidP="00E71E39">
      <w:pPr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D8374B">
        <w:rPr>
          <w:b/>
          <w:sz w:val="36"/>
          <w:szCs w:val="36"/>
        </w:rPr>
        <w:t xml:space="preserve">Звіт про </w:t>
      </w:r>
      <w:r w:rsidR="005234A7">
        <w:rPr>
          <w:b/>
          <w:sz w:val="36"/>
          <w:szCs w:val="36"/>
        </w:rPr>
        <w:t>роботу</w:t>
      </w:r>
      <w:r w:rsidRPr="00D8374B">
        <w:rPr>
          <w:b/>
          <w:sz w:val="36"/>
          <w:szCs w:val="36"/>
        </w:rPr>
        <w:br/>
      </w:r>
      <w:r w:rsidR="005234A7">
        <w:rPr>
          <w:b/>
          <w:sz w:val="36"/>
          <w:szCs w:val="36"/>
        </w:rPr>
        <w:t>д</w:t>
      </w:r>
      <w:r w:rsidRPr="00D8374B">
        <w:rPr>
          <w:b/>
          <w:sz w:val="36"/>
          <w:szCs w:val="36"/>
        </w:rPr>
        <w:t>ержавного міського підприємства «Івано-</w:t>
      </w:r>
      <w:proofErr w:type="spellStart"/>
      <w:r w:rsidRPr="00D8374B">
        <w:rPr>
          <w:b/>
          <w:sz w:val="36"/>
          <w:szCs w:val="36"/>
        </w:rPr>
        <w:t>Франківськтеплокомуненерго</w:t>
      </w:r>
      <w:proofErr w:type="spellEnd"/>
      <w:r w:rsidRPr="00D8374B">
        <w:rPr>
          <w:b/>
          <w:sz w:val="36"/>
          <w:szCs w:val="36"/>
        </w:rPr>
        <w:t>» за 201</w:t>
      </w:r>
      <w:r w:rsidR="00124231" w:rsidRPr="00D8374B">
        <w:rPr>
          <w:b/>
          <w:sz w:val="36"/>
          <w:szCs w:val="36"/>
        </w:rPr>
        <w:t>9</w:t>
      </w:r>
      <w:r w:rsidRPr="00D8374B">
        <w:rPr>
          <w:b/>
          <w:sz w:val="36"/>
          <w:szCs w:val="36"/>
        </w:rPr>
        <w:t xml:space="preserve"> рік</w:t>
      </w:r>
    </w:p>
    <w:p w:rsidR="00260E8E" w:rsidRPr="000019B4" w:rsidRDefault="00260E8E" w:rsidP="00E71E3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6C344B" w:rsidRPr="000019B4" w:rsidRDefault="00A204E9" w:rsidP="006C344B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    </w:t>
      </w:r>
      <w:r w:rsidR="006C344B" w:rsidRPr="000019B4">
        <w:rPr>
          <w:sz w:val="28"/>
          <w:szCs w:val="28"/>
          <w:lang w:eastAsia="en-US"/>
        </w:rPr>
        <w:t>Державне міське підприємство «Івано-</w:t>
      </w:r>
      <w:proofErr w:type="spellStart"/>
      <w:r w:rsidR="006C344B" w:rsidRPr="000019B4">
        <w:rPr>
          <w:sz w:val="28"/>
          <w:szCs w:val="28"/>
          <w:lang w:eastAsia="en-US"/>
        </w:rPr>
        <w:t>Франківськтеплокомуненерго</w:t>
      </w:r>
      <w:proofErr w:type="spellEnd"/>
      <w:r w:rsidR="006C344B" w:rsidRPr="000019B4">
        <w:rPr>
          <w:sz w:val="28"/>
          <w:szCs w:val="28"/>
          <w:lang w:eastAsia="en-US"/>
        </w:rPr>
        <w:t xml:space="preserve">» (далі – підприємство або ДМП «ІФТКЕ») </w:t>
      </w:r>
      <w:r w:rsidR="006C344B" w:rsidRPr="000019B4">
        <w:rPr>
          <w:sz w:val="28"/>
          <w:szCs w:val="28"/>
        </w:rPr>
        <w:t xml:space="preserve"> налічує:</w:t>
      </w:r>
    </w:p>
    <w:p w:rsidR="006C344B" w:rsidRPr="000019B4" w:rsidRDefault="006C344B" w:rsidP="006C344B">
      <w:pPr>
        <w:numPr>
          <w:ilvl w:val="0"/>
          <w:numId w:val="2"/>
        </w:num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31 котельню;</w:t>
      </w:r>
    </w:p>
    <w:p w:rsidR="006C344B" w:rsidRPr="000019B4" w:rsidRDefault="006C344B" w:rsidP="006C344B">
      <w:pPr>
        <w:numPr>
          <w:ilvl w:val="0"/>
          <w:numId w:val="2"/>
        </w:num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25 центральних теплових пунктів (ЦТП);</w:t>
      </w:r>
    </w:p>
    <w:p w:rsidR="006C344B" w:rsidRPr="000019B4" w:rsidRDefault="006C344B" w:rsidP="006C344B">
      <w:pPr>
        <w:numPr>
          <w:ilvl w:val="0"/>
          <w:numId w:val="2"/>
        </w:num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59 індивідуальних теплових пунктів (ІТП);</w:t>
      </w:r>
    </w:p>
    <w:p w:rsidR="006C344B" w:rsidRPr="000019B4" w:rsidRDefault="006C344B" w:rsidP="006C344B">
      <w:pPr>
        <w:numPr>
          <w:ilvl w:val="0"/>
          <w:numId w:val="2"/>
        </w:num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понад 130 км теплових мереж ( двотрубному обчисленні).</w:t>
      </w:r>
    </w:p>
    <w:p w:rsidR="006C344B" w:rsidRPr="000019B4" w:rsidRDefault="006C344B" w:rsidP="006C344B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>Встановлена теплова потужність джерел –</w:t>
      </w:r>
      <w:r w:rsidRPr="000019B4">
        <w:rPr>
          <w:sz w:val="28"/>
          <w:szCs w:val="28"/>
          <w:lang w:val="en-US"/>
        </w:rPr>
        <w:t xml:space="preserve"> 322</w:t>
      </w:r>
      <w:r w:rsidRPr="000019B4">
        <w:rPr>
          <w:sz w:val="28"/>
          <w:szCs w:val="28"/>
        </w:rPr>
        <w:t xml:space="preserve">,29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>/год</w:t>
      </w:r>
    </w:p>
    <w:p w:rsidR="006C344B" w:rsidRPr="000019B4" w:rsidRDefault="006C344B" w:rsidP="006C344B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На котельнях підприємства встановлено і працюють 4 </w:t>
      </w:r>
      <w:proofErr w:type="spellStart"/>
      <w:r w:rsidRPr="000019B4">
        <w:rPr>
          <w:sz w:val="28"/>
          <w:szCs w:val="28"/>
        </w:rPr>
        <w:t>когенераційні</w:t>
      </w:r>
      <w:proofErr w:type="spellEnd"/>
      <w:r w:rsidRPr="000019B4">
        <w:rPr>
          <w:sz w:val="28"/>
          <w:szCs w:val="28"/>
        </w:rPr>
        <w:t xml:space="preserve"> установки загальною електричною потужністю 3,9 МВт і тепловою 4,2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>/год.</w:t>
      </w:r>
    </w:p>
    <w:p w:rsidR="006C344B" w:rsidRPr="000019B4" w:rsidRDefault="006C344B" w:rsidP="006C344B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На сьогоднішній день на </w:t>
      </w:r>
      <w:r w:rsidR="00AC19DF">
        <w:rPr>
          <w:sz w:val="28"/>
          <w:szCs w:val="28"/>
        </w:rPr>
        <w:t>к</w:t>
      </w:r>
      <w:r w:rsidR="00AC19DF" w:rsidRPr="000019B4">
        <w:rPr>
          <w:sz w:val="28"/>
          <w:szCs w:val="28"/>
        </w:rPr>
        <w:t xml:space="preserve">отельнях </w:t>
      </w:r>
      <w:r w:rsidRPr="000019B4">
        <w:rPr>
          <w:sz w:val="28"/>
          <w:szCs w:val="28"/>
        </w:rPr>
        <w:t>підприємств</w:t>
      </w:r>
      <w:r w:rsidR="00AC19DF">
        <w:rPr>
          <w:sz w:val="28"/>
          <w:szCs w:val="28"/>
        </w:rPr>
        <w:t>а</w:t>
      </w:r>
      <w:r w:rsidRPr="000019B4">
        <w:rPr>
          <w:sz w:val="28"/>
          <w:szCs w:val="28"/>
        </w:rPr>
        <w:t xml:space="preserve"> експлуатуються </w:t>
      </w:r>
      <w:r w:rsidR="000762DD">
        <w:rPr>
          <w:sz w:val="28"/>
          <w:szCs w:val="28"/>
        </w:rPr>
        <w:t>3</w:t>
      </w:r>
      <w:r w:rsidRPr="000019B4">
        <w:rPr>
          <w:sz w:val="28"/>
          <w:szCs w:val="28"/>
        </w:rPr>
        <w:t xml:space="preserve"> котл</w:t>
      </w:r>
      <w:r w:rsidR="000762DD">
        <w:rPr>
          <w:sz w:val="28"/>
          <w:szCs w:val="28"/>
        </w:rPr>
        <w:t>и</w:t>
      </w:r>
      <w:r w:rsidRPr="000019B4">
        <w:rPr>
          <w:sz w:val="28"/>
          <w:szCs w:val="28"/>
        </w:rPr>
        <w:t xml:space="preserve">, які працюють на відходах деревини (тирса, тріска, </w:t>
      </w:r>
      <w:proofErr w:type="spellStart"/>
      <w:r w:rsidRPr="000019B4">
        <w:rPr>
          <w:sz w:val="28"/>
          <w:szCs w:val="28"/>
        </w:rPr>
        <w:t>пелети</w:t>
      </w:r>
      <w:proofErr w:type="spellEnd"/>
      <w:r w:rsidRPr="000019B4">
        <w:rPr>
          <w:sz w:val="28"/>
          <w:szCs w:val="28"/>
        </w:rPr>
        <w:t xml:space="preserve">). Загальна встановлена потужність цього </w:t>
      </w:r>
      <w:proofErr w:type="spellStart"/>
      <w:r w:rsidRPr="000019B4">
        <w:rPr>
          <w:sz w:val="28"/>
          <w:szCs w:val="28"/>
        </w:rPr>
        <w:t>теплогенеруючого</w:t>
      </w:r>
      <w:proofErr w:type="spellEnd"/>
      <w:r w:rsidRPr="000019B4">
        <w:rPr>
          <w:sz w:val="28"/>
          <w:szCs w:val="28"/>
        </w:rPr>
        <w:t xml:space="preserve"> обладнання становить 10,7 МВт.</w:t>
      </w:r>
    </w:p>
    <w:p w:rsidR="00260E8E" w:rsidRPr="000019B4" w:rsidRDefault="00260E8E" w:rsidP="006C344B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200F79" w:rsidRPr="000019B4" w:rsidRDefault="00200F79" w:rsidP="00200F79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         Впродовж 2019р. підключене теплове навантаження об'єктів теплопостачання зменшилось на 3,09388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/год., що складає 1,56 %, в тому числі опалення зменшилось на 1,17898 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/год. ( 0,78 %), та зменшилось по ГВП на 1,9149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>/год. (4,17%).</w:t>
      </w:r>
    </w:p>
    <w:p w:rsidR="00200F79" w:rsidRPr="000019B4" w:rsidRDefault="00200F79" w:rsidP="00200F79">
      <w:pPr>
        <w:ind w:firstLine="720"/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Станом на 01.01.2020р. загальне підключене теплове навантаження об'єктів теплопостачання підприємства становить 195,27874 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/год. (опалення - 150,47341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/год,, пара на технологічні потреби – 0,7749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/год., гаряче водопостачання – 44,03043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/год. </w:t>
      </w:r>
    </w:p>
    <w:p w:rsidR="00260E8E" w:rsidRPr="000019B4" w:rsidRDefault="00260E8E">
      <w:pPr>
        <w:jc w:val="both"/>
        <w:rPr>
          <w:sz w:val="28"/>
          <w:szCs w:val="28"/>
        </w:rPr>
      </w:pPr>
    </w:p>
    <w:p w:rsidR="00311D6E" w:rsidRPr="000019B4" w:rsidRDefault="00311D6E" w:rsidP="00311D6E">
      <w:pPr>
        <w:jc w:val="center"/>
        <w:rPr>
          <w:b/>
          <w:bCs/>
          <w:sz w:val="28"/>
          <w:szCs w:val="28"/>
        </w:rPr>
      </w:pPr>
      <w:r w:rsidRPr="000019B4">
        <w:rPr>
          <w:rFonts w:eastAsia="Calibri"/>
          <w:b/>
          <w:sz w:val="28"/>
          <w:szCs w:val="28"/>
          <w:lang w:eastAsia="en-US"/>
        </w:rPr>
        <w:t xml:space="preserve">Встановлена та приєднана теплова потужність </w:t>
      </w:r>
      <w:proofErr w:type="spellStart"/>
      <w:r w:rsidRPr="000019B4">
        <w:rPr>
          <w:rFonts w:eastAsia="Calibri"/>
          <w:b/>
          <w:sz w:val="28"/>
          <w:szCs w:val="28"/>
          <w:lang w:eastAsia="en-US"/>
        </w:rPr>
        <w:t>котелень</w:t>
      </w:r>
      <w:proofErr w:type="spellEnd"/>
      <w:r w:rsidRPr="000019B4">
        <w:rPr>
          <w:rFonts w:eastAsia="Calibri"/>
          <w:b/>
          <w:sz w:val="28"/>
          <w:szCs w:val="28"/>
          <w:lang w:eastAsia="en-US"/>
        </w:rPr>
        <w:t xml:space="preserve"> по ДМП «ІФТКЕ»</w:t>
      </w:r>
      <w:r w:rsidR="00F911B0" w:rsidRPr="000019B4">
        <w:rPr>
          <w:rFonts w:eastAsia="Calibri"/>
          <w:b/>
          <w:sz w:val="28"/>
          <w:szCs w:val="28"/>
          <w:lang w:eastAsia="en-US"/>
        </w:rPr>
        <w:t xml:space="preserve"> </w:t>
      </w:r>
      <w:r w:rsidRPr="000019B4">
        <w:rPr>
          <w:b/>
          <w:bCs/>
          <w:sz w:val="28"/>
          <w:szCs w:val="28"/>
        </w:rPr>
        <w:t>станом на 01.01.2020 р.</w:t>
      </w:r>
    </w:p>
    <w:p w:rsidR="00311D6E" w:rsidRPr="000019B4" w:rsidRDefault="00311D6E" w:rsidP="00311D6E">
      <w:pPr>
        <w:jc w:val="both"/>
        <w:rPr>
          <w:b/>
          <w:bCs/>
          <w:sz w:val="28"/>
          <w:szCs w:val="28"/>
        </w:rPr>
      </w:pPr>
    </w:p>
    <w:tbl>
      <w:tblPr>
        <w:tblW w:w="8840" w:type="dxa"/>
        <w:jc w:val="center"/>
        <w:tblLook w:val="04A0" w:firstRow="1" w:lastRow="0" w:firstColumn="1" w:lastColumn="0" w:noHBand="0" w:noVBand="1"/>
      </w:tblPr>
      <w:tblGrid>
        <w:gridCol w:w="700"/>
        <w:gridCol w:w="2640"/>
        <w:gridCol w:w="1478"/>
        <w:gridCol w:w="1293"/>
        <w:gridCol w:w="1583"/>
        <w:gridCol w:w="1146"/>
      </w:tblGrid>
      <w:tr w:rsidR="000019B4" w:rsidRPr="000019B4" w:rsidTr="00311D6E">
        <w:trPr>
          <w:trHeight w:val="345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rPr>
                <w:bCs/>
              </w:rPr>
              <w:t>№ з/п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rPr>
                <w:bCs/>
              </w:rPr>
              <w:t>Адреса котельні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t xml:space="preserve">ТЕПЛОВА ПОТУЖНІСТЬ , </w:t>
            </w:r>
            <w:proofErr w:type="spellStart"/>
            <w:r w:rsidRPr="00E448F4">
              <w:t>Гкал</w:t>
            </w:r>
            <w:proofErr w:type="spellEnd"/>
            <w:r w:rsidRPr="00E448F4">
              <w:t>/год.</w:t>
            </w:r>
          </w:p>
        </w:tc>
      </w:tr>
      <w:tr w:rsidR="000019B4" w:rsidRPr="000019B4" w:rsidTr="00311D6E">
        <w:trPr>
          <w:trHeight w:val="33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rPr>
                <w:sz w:val="22"/>
                <w:szCs w:val="22"/>
              </w:rPr>
              <w:t>Встановлена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t>підключене теплове навантаження</w:t>
            </w:r>
          </w:p>
        </w:tc>
      </w:tr>
      <w:tr w:rsidR="000019B4" w:rsidRPr="000019B4" w:rsidTr="00311D6E">
        <w:trPr>
          <w:trHeight w:val="33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t>Всього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t>у тому числі</w:t>
            </w:r>
          </w:p>
        </w:tc>
      </w:tr>
      <w:tr w:rsidR="000019B4" w:rsidRPr="000019B4" w:rsidTr="00311D6E">
        <w:trPr>
          <w:trHeight w:val="127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D6E" w:rsidRPr="00E448F4" w:rsidRDefault="00311D6E" w:rsidP="006A007B"/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6E" w:rsidRPr="00E448F4" w:rsidRDefault="00311D6E" w:rsidP="006A007B">
            <w:pPr>
              <w:jc w:val="center"/>
            </w:pPr>
            <w:r w:rsidRPr="00E448F4">
              <w:t xml:space="preserve">Опалення              ( у </w:t>
            </w:r>
            <w:proofErr w:type="spellStart"/>
            <w:r w:rsidRPr="00E448F4">
              <w:t>т.ч</w:t>
            </w:r>
            <w:proofErr w:type="spellEnd"/>
            <w:r w:rsidRPr="00E448F4">
              <w:t>. пара та вентиляція)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D6E" w:rsidRPr="00E448F4" w:rsidRDefault="00311D6E" w:rsidP="006A007B">
            <w:pPr>
              <w:jc w:val="center"/>
              <w:rPr>
                <w:sz w:val="20"/>
                <w:szCs w:val="20"/>
              </w:rPr>
            </w:pPr>
            <w:r w:rsidRPr="00E448F4">
              <w:rPr>
                <w:sz w:val="20"/>
                <w:szCs w:val="20"/>
              </w:rPr>
              <w:t>ГВП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Північний бульвар,2а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5</w:t>
            </w:r>
            <w:r w:rsidRPr="00E448F4">
              <w:rPr>
                <w:lang w:val="en-US"/>
              </w:rPr>
              <w:t>,160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3,01754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3,00454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0,013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Військових ветеранів,8а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10,880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5,87275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5,14907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0,72368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Угорська,6а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3,120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2,1479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1,48257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0,66533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Пулюя,1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2,580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1,4934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1,4934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Набережна,8а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10,320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6,12833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5,68993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0,43840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Тролейбусна,40а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29,829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18,75598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13,58225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5,17373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Федьковича,91а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20,515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12,79419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9,53683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3,25736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Дорошенка,28а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33,200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22,14166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17,06968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5,07198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roofErr w:type="spellStart"/>
            <w:r w:rsidRPr="00E448F4">
              <w:rPr>
                <w:sz w:val="22"/>
                <w:szCs w:val="22"/>
              </w:rPr>
              <w:t>Крихівці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0,688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0,36044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0,36044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Мазепи,142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2,243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1,11762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1,0647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0,05292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Мазепи,114г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3,660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3,37257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2,24557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1,127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Бельведерська,46а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1,24264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1,24264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Бельведерська,49б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1,94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0,95004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0,95004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Бельведерська,61а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0,95023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0,95023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Вовчинецька,103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0,60459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0,60459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Максимовича,5а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0,43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0,162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0,162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Шевченка,34а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1,42116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1,42116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Чубинського,14а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0,172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0,09408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0,09408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Медична,4а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1,940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0,88236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0,53506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0,3473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Медична,17а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4,182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2,24015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1,57675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0,6634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Коновальця,132а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3,580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1,9813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1,3813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0,6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Матейка,34а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2,260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1,42688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1,16388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0,263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Чорновола,47а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4,440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3,76352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2,64321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1,12031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Довга,68а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23,574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13,02568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9,50402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3,52166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Юності,11а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10,36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2,80917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2,80917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 xml:space="preserve">Биха,3А     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19,500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7,44552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6,32793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1,11759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Симоненка,3а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rPr>
                <w:lang w:val="en-US"/>
              </w:rPr>
              <w:t>112,672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75,60923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56,21707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19,39216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Джерельна(Опришівці)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r w:rsidRPr="00E448F4">
              <w:t> 0</w:t>
            </w:r>
            <w:r w:rsidRPr="00E448F4">
              <w:rPr>
                <w:lang w:val="en-US"/>
              </w:rPr>
              <w:t>,</w:t>
            </w:r>
            <w:r w:rsidRPr="00E448F4">
              <w:t>362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0,176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0,076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0,10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Чорновола,130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1,94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0,93366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0,93366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Хриплинська,11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3,44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2,13415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1,82844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0,30571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rPr>
                <w:sz w:val="22"/>
                <w:szCs w:val="22"/>
              </w:rPr>
              <w:t>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Тополина,21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t> </w:t>
            </w:r>
            <w:r w:rsidRPr="00E448F4">
              <w:rPr>
                <w:lang w:val="en-US"/>
              </w:rPr>
              <w:t>0,265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0,22400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0,1481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</w:pPr>
            <w:r w:rsidRPr="00E448F4">
              <w:t>0,07590</w:t>
            </w:r>
          </w:p>
        </w:tc>
      </w:tr>
      <w:tr w:rsidR="000019B4" w:rsidRPr="000019B4" w:rsidTr="00311D6E">
        <w:trPr>
          <w:trHeight w:val="3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r w:rsidRPr="00E448F4"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D6E" w:rsidRPr="00E448F4" w:rsidRDefault="00311D6E" w:rsidP="006A007B">
            <w:pPr>
              <w:rPr>
                <w:lang w:val="en-US"/>
              </w:rPr>
            </w:pPr>
            <w:r w:rsidRPr="00E448F4">
              <w:rPr>
                <w:sz w:val="28"/>
                <w:szCs w:val="28"/>
              </w:rPr>
              <w:t> </w:t>
            </w:r>
            <w:r w:rsidRPr="00E448F4">
              <w:rPr>
                <w:lang w:val="en-US"/>
              </w:rPr>
              <w:t>322,292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  <w:rPr>
                <w:b/>
                <w:bCs/>
              </w:rPr>
            </w:pPr>
            <w:r w:rsidRPr="00E448F4">
              <w:rPr>
                <w:b/>
                <w:bCs/>
              </w:rPr>
              <w:t>195,27874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  <w:rPr>
                <w:b/>
                <w:bCs/>
              </w:rPr>
            </w:pPr>
            <w:r w:rsidRPr="00E448F4">
              <w:rPr>
                <w:b/>
                <w:bCs/>
              </w:rPr>
              <w:t>151,24831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D6E" w:rsidRPr="00E448F4" w:rsidRDefault="00311D6E" w:rsidP="006A007B">
            <w:pPr>
              <w:jc w:val="right"/>
              <w:rPr>
                <w:b/>
                <w:bCs/>
              </w:rPr>
            </w:pPr>
            <w:r w:rsidRPr="00E448F4">
              <w:rPr>
                <w:b/>
                <w:bCs/>
              </w:rPr>
              <w:t>44,03043</w:t>
            </w:r>
          </w:p>
        </w:tc>
      </w:tr>
    </w:tbl>
    <w:p w:rsidR="00311D6E" w:rsidRPr="000019B4" w:rsidRDefault="00311D6E">
      <w:pPr>
        <w:ind w:firstLine="720"/>
        <w:jc w:val="both"/>
        <w:rPr>
          <w:sz w:val="28"/>
          <w:szCs w:val="28"/>
        </w:rPr>
      </w:pPr>
    </w:p>
    <w:p w:rsidR="00311D6E" w:rsidRPr="000019B4" w:rsidRDefault="00311D6E">
      <w:pPr>
        <w:ind w:firstLine="539"/>
        <w:jc w:val="both"/>
        <w:rPr>
          <w:sz w:val="28"/>
          <w:szCs w:val="28"/>
        </w:rPr>
      </w:pPr>
    </w:p>
    <w:p w:rsidR="00311D6E" w:rsidRPr="000019B4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 xml:space="preserve">Статистичні дані по укладених договорах та об’єктах теплопостачання по </w:t>
      </w:r>
    </w:p>
    <w:p w:rsidR="00260E8E" w:rsidRPr="000019B4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ДМП «ІФТКЕ» у 201</w:t>
      </w:r>
      <w:r w:rsidR="00311D6E" w:rsidRPr="000019B4">
        <w:rPr>
          <w:b/>
          <w:sz w:val="28"/>
          <w:szCs w:val="28"/>
        </w:rPr>
        <w:t>9</w:t>
      </w:r>
      <w:r w:rsidRPr="000019B4">
        <w:rPr>
          <w:b/>
          <w:sz w:val="28"/>
          <w:szCs w:val="28"/>
        </w:rPr>
        <w:t xml:space="preserve"> році.</w:t>
      </w:r>
    </w:p>
    <w:p w:rsidR="00311D6E" w:rsidRPr="000019B4" w:rsidRDefault="00311D6E">
      <w:pPr>
        <w:jc w:val="center"/>
        <w:rPr>
          <w:b/>
          <w:sz w:val="28"/>
          <w:szCs w:val="28"/>
        </w:rPr>
      </w:pPr>
    </w:p>
    <w:p w:rsidR="00311D6E" w:rsidRPr="000019B4" w:rsidRDefault="00311D6E">
      <w:pPr>
        <w:jc w:val="center"/>
        <w:rPr>
          <w:b/>
          <w:sz w:val="28"/>
          <w:szCs w:val="28"/>
        </w:rPr>
      </w:pPr>
    </w:p>
    <w:p w:rsidR="00311D6E" w:rsidRPr="000019B4" w:rsidRDefault="00311D6E" w:rsidP="00311D6E">
      <w:pPr>
        <w:ind w:firstLine="720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Станом на 01.01.2020 року в ДМП «Івано-</w:t>
      </w:r>
      <w:proofErr w:type="spellStart"/>
      <w:r w:rsidRPr="000019B4">
        <w:rPr>
          <w:sz w:val="28"/>
          <w:szCs w:val="28"/>
        </w:rPr>
        <w:t>Форанківськтеплокомуненерго</w:t>
      </w:r>
      <w:proofErr w:type="spellEnd"/>
      <w:r w:rsidRPr="000019B4">
        <w:rPr>
          <w:sz w:val="28"/>
          <w:szCs w:val="28"/>
        </w:rPr>
        <w:t>» діє 348 договорів про постачання теплової енергії.</w:t>
      </w:r>
    </w:p>
    <w:p w:rsidR="00311D6E" w:rsidRPr="000019B4" w:rsidRDefault="00311D6E" w:rsidP="00311D6E">
      <w:pPr>
        <w:ind w:firstLine="53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Загальна</w:t>
      </w:r>
      <w:r w:rsidR="006A007B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кількість</w:t>
      </w:r>
      <w:r w:rsidR="006A007B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підключених</w:t>
      </w:r>
      <w:r w:rsidR="006A007B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 xml:space="preserve">об'єктів– 1103, з них </w:t>
      </w:r>
    </w:p>
    <w:p w:rsidR="00311D6E" w:rsidRPr="000019B4" w:rsidRDefault="00311D6E" w:rsidP="00311D6E">
      <w:pPr>
        <w:ind w:firstLine="53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-на</w:t>
      </w:r>
      <w:r w:rsidR="006A007B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 xml:space="preserve">опалення- 1100., </w:t>
      </w:r>
    </w:p>
    <w:p w:rsidR="00311D6E" w:rsidRPr="000019B4" w:rsidRDefault="00311D6E" w:rsidP="00311D6E">
      <w:pPr>
        <w:ind w:firstLine="53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-на гарячу воду  - 407.</w:t>
      </w:r>
    </w:p>
    <w:p w:rsidR="00311D6E" w:rsidRPr="000019B4" w:rsidRDefault="00311D6E" w:rsidP="00311D6E">
      <w:pPr>
        <w:ind w:firstLine="539"/>
        <w:jc w:val="both"/>
        <w:rPr>
          <w:sz w:val="28"/>
          <w:szCs w:val="28"/>
        </w:rPr>
      </w:pPr>
    </w:p>
    <w:p w:rsidR="005B76E8" w:rsidRPr="000019B4" w:rsidRDefault="005B76E8" w:rsidP="00311D6E">
      <w:pPr>
        <w:jc w:val="center"/>
        <w:rPr>
          <w:b/>
          <w:sz w:val="28"/>
          <w:szCs w:val="28"/>
        </w:rPr>
      </w:pPr>
    </w:p>
    <w:p w:rsidR="005B76E8" w:rsidRPr="000019B4" w:rsidRDefault="005B76E8" w:rsidP="00311D6E">
      <w:pPr>
        <w:jc w:val="center"/>
        <w:rPr>
          <w:b/>
          <w:sz w:val="28"/>
          <w:szCs w:val="28"/>
        </w:rPr>
      </w:pPr>
    </w:p>
    <w:p w:rsidR="005B76E8" w:rsidRPr="000019B4" w:rsidRDefault="005B76E8" w:rsidP="00311D6E">
      <w:pPr>
        <w:jc w:val="center"/>
        <w:rPr>
          <w:b/>
          <w:sz w:val="28"/>
          <w:szCs w:val="28"/>
        </w:rPr>
      </w:pPr>
    </w:p>
    <w:p w:rsidR="005B76E8" w:rsidRPr="000019B4" w:rsidRDefault="005B76E8" w:rsidP="00311D6E">
      <w:pPr>
        <w:jc w:val="center"/>
        <w:rPr>
          <w:b/>
          <w:sz w:val="28"/>
          <w:szCs w:val="28"/>
        </w:rPr>
      </w:pPr>
    </w:p>
    <w:p w:rsidR="00311D6E" w:rsidRPr="000019B4" w:rsidRDefault="00311D6E" w:rsidP="00311D6E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lastRenderedPageBreak/>
        <w:t>Статистичні</w:t>
      </w:r>
      <w:r w:rsidR="006A007B" w:rsidRPr="000019B4">
        <w:rPr>
          <w:b/>
          <w:sz w:val="28"/>
          <w:szCs w:val="28"/>
        </w:rPr>
        <w:t xml:space="preserve"> </w:t>
      </w:r>
      <w:r w:rsidRPr="000019B4">
        <w:rPr>
          <w:b/>
          <w:sz w:val="28"/>
          <w:szCs w:val="28"/>
        </w:rPr>
        <w:t>дані по укладених договорах та об’єктах</w:t>
      </w:r>
      <w:r w:rsidR="006A007B" w:rsidRPr="000019B4">
        <w:rPr>
          <w:b/>
          <w:sz w:val="28"/>
          <w:szCs w:val="28"/>
        </w:rPr>
        <w:t xml:space="preserve"> </w:t>
      </w:r>
      <w:r w:rsidRPr="000019B4">
        <w:rPr>
          <w:b/>
          <w:sz w:val="28"/>
          <w:szCs w:val="28"/>
        </w:rPr>
        <w:t>теплопостачання по ДМП «ІФТКЕ» у 2019році</w:t>
      </w:r>
    </w:p>
    <w:p w:rsidR="00311D6E" w:rsidRPr="000019B4" w:rsidRDefault="00311D6E" w:rsidP="00311D6E">
      <w:pPr>
        <w:ind w:firstLine="539"/>
        <w:rPr>
          <w:b/>
          <w:sz w:val="28"/>
          <w:szCs w:val="28"/>
        </w:rPr>
      </w:pPr>
    </w:p>
    <w:tbl>
      <w:tblPr>
        <w:tblW w:w="100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67"/>
        <w:gridCol w:w="1276"/>
        <w:gridCol w:w="1338"/>
        <w:gridCol w:w="1134"/>
        <w:gridCol w:w="1276"/>
        <w:gridCol w:w="1134"/>
        <w:gridCol w:w="1064"/>
      </w:tblGrid>
      <w:tr w:rsidR="000019B4" w:rsidRPr="000019B4" w:rsidTr="006A007B">
        <w:trPr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Категорії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споживачів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Кількість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укладених</w:t>
            </w:r>
            <w:r w:rsidR="006A007B" w:rsidRPr="000019B4">
              <w:rPr>
                <w:b/>
                <w:sz w:val="22"/>
                <w:szCs w:val="22"/>
              </w:rPr>
              <w:t xml:space="preserve">  </w:t>
            </w:r>
            <w:r w:rsidRPr="000019B4">
              <w:rPr>
                <w:b/>
                <w:sz w:val="22"/>
                <w:szCs w:val="22"/>
              </w:rPr>
              <w:t>договорів станом на 01.01.19р.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Кількість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об’єктів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теплопостачання станом на 01.01.19р.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b/>
                <w:sz w:val="22"/>
                <w:szCs w:val="22"/>
              </w:rPr>
              <w:t>Кількість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укладених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договорів станом на 01.01.20р.</w:t>
            </w:r>
          </w:p>
        </w:tc>
        <w:tc>
          <w:tcPr>
            <w:tcW w:w="2198" w:type="dxa"/>
            <w:gridSpan w:val="2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Кількість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об’єктів</w:t>
            </w:r>
            <w:r w:rsidR="006A007B" w:rsidRPr="000019B4">
              <w:rPr>
                <w:b/>
                <w:sz w:val="22"/>
                <w:szCs w:val="22"/>
              </w:rPr>
              <w:t xml:space="preserve"> </w:t>
            </w:r>
            <w:r w:rsidRPr="000019B4">
              <w:rPr>
                <w:b/>
                <w:sz w:val="22"/>
                <w:szCs w:val="22"/>
              </w:rPr>
              <w:t>теплопостачання станом на 01.01.20р.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311D6E" w:rsidRPr="000019B4" w:rsidRDefault="00311D6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311D6E" w:rsidRPr="000019B4" w:rsidRDefault="00311D6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11D6E" w:rsidRPr="000019B4" w:rsidRDefault="00311D6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ind w:left="-40" w:right="-108"/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по опаленню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b/>
                <w:sz w:val="22"/>
                <w:szCs w:val="22"/>
              </w:rPr>
              <w:t>по гарячій води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ind w:left="-40" w:right="-108"/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по опаленню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</w:rPr>
            </w:pPr>
            <w:r w:rsidRPr="000019B4">
              <w:rPr>
                <w:b/>
                <w:sz w:val="22"/>
                <w:szCs w:val="22"/>
              </w:rPr>
              <w:t>по гарячій води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1.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r w:rsidRPr="000019B4">
              <w:t>Організації, які</w:t>
            </w:r>
            <w:r w:rsidR="006A007B" w:rsidRPr="000019B4">
              <w:t xml:space="preserve"> </w:t>
            </w:r>
            <w:r w:rsidRPr="000019B4">
              <w:t>фінансуються</w:t>
            </w:r>
            <w:r w:rsidR="006A007B" w:rsidRPr="000019B4">
              <w:t xml:space="preserve"> </w:t>
            </w:r>
            <w:r w:rsidRPr="000019B4">
              <w:t xml:space="preserve"> з бюджетів у тому числі з: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76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71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76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247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72</w:t>
            </w:r>
          </w:p>
        </w:tc>
      </w:tr>
      <w:tr w:rsidR="000019B4" w:rsidRPr="000019B4" w:rsidTr="006A007B">
        <w:trPr>
          <w:trHeight w:val="440"/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1.1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pPr>
              <w:jc w:val="both"/>
            </w:pPr>
            <w:r w:rsidRPr="000019B4">
              <w:t>- міського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43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37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42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145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36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1.2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pPr>
              <w:jc w:val="both"/>
            </w:pPr>
            <w:r w:rsidRPr="000019B4">
              <w:t>- обласного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28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22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60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28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1.3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pPr>
              <w:jc w:val="both"/>
            </w:pPr>
            <w:r w:rsidRPr="000019B4">
              <w:t>- державного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12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42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8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2.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pPr>
              <w:jc w:val="both"/>
            </w:pPr>
            <w:r w:rsidRPr="000019B4">
              <w:t>Госпрозрахункові</w:t>
            </w:r>
            <w:r w:rsidR="006A007B" w:rsidRPr="000019B4">
              <w:t xml:space="preserve">  </w:t>
            </w:r>
            <w:r w:rsidRPr="000019B4">
              <w:t>організації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195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19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200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237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15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3.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pPr>
              <w:jc w:val="both"/>
            </w:pPr>
            <w:r w:rsidRPr="000019B4">
              <w:t>Житлові</w:t>
            </w:r>
            <w:r w:rsidR="003309BD" w:rsidRPr="000019B4">
              <w:t xml:space="preserve"> </w:t>
            </w:r>
            <w:r w:rsidRPr="000019B4">
              <w:t>будинки</w:t>
            </w:r>
            <w:r w:rsidR="003309BD" w:rsidRPr="000019B4">
              <w:t xml:space="preserve"> </w:t>
            </w:r>
            <w:r w:rsidR="006A007B" w:rsidRPr="000019B4"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73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334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72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616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320</w:t>
            </w:r>
          </w:p>
        </w:tc>
      </w:tr>
      <w:tr w:rsidR="000019B4" w:rsidRPr="000019B4" w:rsidTr="006A007B">
        <w:trPr>
          <w:jc w:val="center"/>
        </w:trPr>
        <w:tc>
          <w:tcPr>
            <w:tcW w:w="709" w:type="dxa"/>
            <w:shd w:val="clear" w:color="auto" w:fill="auto"/>
          </w:tcPr>
          <w:p w:rsidR="00311D6E" w:rsidRPr="000019B4" w:rsidRDefault="00311D6E" w:rsidP="006A007B">
            <w:pPr>
              <w:jc w:val="center"/>
            </w:pPr>
            <w:r w:rsidRPr="000019B4">
              <w:t>3.1</w:t>
            </w:r>
          </w:p>
        </w:tc>
        <w:tc>
          <w:tcPr>
            <w:tcW w:w="2167" w:type="dxa"/>
            <w:shd w:val="clear" w:color="auto" w:fill="auto"/>
          </w:tcPr>
          <w:p w:rsidR="00311D6E" w:rsidRPr="000019B4" w:rsidRDefault="00311D6E" w:rsidP="006A007B">
            <w:r w:rsidRPr="000019B4">
              <w:t>в т. ч. на абонентському</w:t>
            </w:r>
            <w:r w:rsidR="006A007B" w:rsidRPr="000019B4">
              <w:t xml:space="preserve">  </w:t>
            </w:r>
            <w:r w:rsidRPr="000019B4">
              <w:t>обслуговуванні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66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321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65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585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</w:p>
          <w:p w:rsidR="00311D6E" w:rsidRPr="000019B4" w:rsidRDefault="00311D6E" w:rsidP="006A007B">
            <w:pPr>
              <w:jc w:val="center"/>
            </w:pPr>
            <w:r w:rsidRPr="000019B4">
              <w:t>306</w:t>
            </w:r>
          </w:p>
          <w:p w:rsidR="00311D6E" w:rsidRPr="000019B4" w:rsidRDefault="00311D6E" w:rsidP="006A007B">
            <w:pPr>
              <w:jc w:val="center"/>
            </w:pPr>
          </w:p>
        </w:tc>
      </w:tr>
      <w:tr w:rsidR="000019B4" w:rsidRPr="000019B4" w:rsidTr="006A007B">
        <w:trPr>
          <w:trHeight w:val="340"/>
          <w:jc w:val="center"/>
        </w:trPr>
        <w:tc>
          <w:tcPr>
            <w:tcW w:w="2876" w:type="dxa"/>
            <w:gridSpan w:val="2"/>
            <w:shd w:val="clear" w:color="auto" w:fill="auto"/>
          </w:tcPr>
          <w:p w:rsidR="00311D6E" w:rsidRPr="000019B4" w:rsidRDefault="00311D6E" w:rsidP="006A007B">
            <w:pPr>
              <w:jc w:val="both"/>
              <w:rPr>
                <w:b/>
              </w:rPr>
            </w:pPr>
            <w:r w:rsidRPr="000019B4">
              <w:rPr>
                <w:b/>
              </w:rPr>
              <w:t>ВСЬОГО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343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1088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424</w:t>
            </w:r>
          </w:p>
        </w:tc>
        <w:tc>
          <w:tcPr>
            <w:tcW w:w="1276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348</w:t>
            </w:r>
          </w:p>
        </w:tc>
        <w:tc>
          <w:tcPr>
            <w:tcW w:w="113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1100</w:t>
            </w:r>
          </w:p>
        </w:tc>
        <w:tc>
          <w:tcPr>
            <w:tcW w:w="1064" w:type="dxa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t>407</w:t>
            </w:r>
          </w:p>
        </w:tc>
      </w:tr>
    </w:tbl>
    <w:p w:rsidR="00311D6E" w:rsidRPr="000019B4" w:rsidRDefault="00311D6E" w:rsidP="00311D6E">
      <w:pPr>
        <w:ind w:firstLine="539"/>
        <w:jc w:val="both"/>
        <w:rPr>
          <w:i/>
          <w:sz w:val="26"/>
          <w:szCs w:val="26"/>
        </w:rPr>
      </w:pPr>
      <w:r w:rsidRPr="000019B4">
        <w:rPr>
          <w:b/>
          <w:sz w:val="26"/>
          <w:szCs w:val="26"/>
        </w:rPr>
        <w:t>Примітка:</w:t>
      </w:r>
      <w:r w:rsidR="006A007B" w:rsidRPr="000019B4">
        <w:rPr>
          <w:b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До</w:t>
      </w:r>
      <w:r w:rsidR="006A007B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категорії</w:t>
      </w:r>
      <w:r w:rsidR="006A007B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житлові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будинки (кількість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об’єктів) віднесено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об’єкти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житла по ціновій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категорії, включаючи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>гуртожитки</w:t>
      </w:r>
      <w:r w:rsidR="003309BD" w:rsidRPr="000019B4">
        <w:rPr>
          <w:i/>
          <w:sz w:val="26"/>
          <w:szCs w:val="26"/>
        </w:rPr>
        <w:t xml:space="preserve"> </w:t>
      </w:r>
      <w:r w:rsidRPr="000019B4">
        <w:rPr>
          <w:i/>
          <w:sz w:val="26"/>
          <w:szCs w:val="26"/>
        </w:rPr>
        <w:t xml:space="preserve"> бюджету.</w:t>
      </w:r>
    </w:p>
    <w:p w:rsidR="00311D6E" w:rsidRPr="000019B4" w:rsidRDefault="00311D6E" w:rsidP="00311D6E">
      <w:pPr>
        <w:ind w:firstLine="539"/>
        <w:jc w:val="both"/>
        <w:rPr>
          <w:sz w:val="28"/>
          <w:szCs w:val="28"/>
        </w:rPr>
      </w:pPr>
    </w:p>
    <w:p w:rsidR="00311D6E" w:rsidRPr="000019B4" w:rsidRDefault="00311D6E" w:rsidP="00311D6E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Структура категорії</w:t>
      </w:r>
      <w:r w:rsidR="003309BD" w:rsidRPr="000019B4">
        <w:rPr>
          <w:b/>
          <w:sz w:val="28"/>
          <w:szCs w:val="28"/>
        </w:rPr>
        <w:t xml:space="preserve"> </w:t>
      </w:r>
      <w:r w:rsidRPr="000019B4">
        <w:rPr>
          <w:b/>
          <w:sz w:val="28"/>
          <w:szCs w:val="28"/>
        </w:rPr>
        <w:t>споживачів</w:t>
      </w:r>
      <w:r w:rsidR="003309BD" w:rsidRPr="000019B4">
        <w:rPr>
          <w:b/>
          <w:sz w:val="28"/>
          <w:szCs w:val="28"/>
        </w:rPr>
        <w:t xml:space="preserve"> </w:t>
      </w:r>
      <w:r w:rsidRPr="000019B4">
        <w:rPr>
          <w:b/>
          <w:sz w:val="28"/>
          <w:szCs w:val="28"/>
        </w:rPr>
        <w:t xml:space="preserve"> «населення»</w:t>
      </w:r>
    </w:p>
    <w:tbl>
      <w:tblPr>
        <w:tblW w:w="8195" w:type="dxa"/>
        <w:jc w:val="center"/>
        <w:tblLayout w:type="fixed"/>
        <w:tblLook w:val="0000" w:firstRow="0" w:lastRow="0" w:firstColumn="0" w:lastColumn="0" w:noHBand="0" w:noVBand="0"/>
      </w:tblPr>
      <w:tblGrid>
        <w:gridCol w:w="3092"/>
        <w:gridCol w:w="2268"/>
        <w:gridCol w:w="2835"/>
      </w:tblGrid>
      <w:tr w:rsidR="000019B4" w:rsidRPr="000019B4" w:rsidTr="006A007B">
        <w:trPr>
          <w:trHeight w:val="460"/>
          <w:jc w:val="center"/>
        </w:trPr>
        <w:tc>
          <w:tcPr>
            <w:tcW w:w="3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  <w:rPr>
                <w:b/>
                <w:i/>
              </w:rPr>
            </w:pPr>
            <w:r w:rsidRPr="000019B4">
              <w:rPr>
                <w:b/>
                <w:i/>
                <w:sz w:val="22"/>
                <w:szCs w:val="22"/>
              </w:rPr>
              <w:t>Структура категорії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  <w:r w:rsidRPr="000019B4">
              <w:rPr>
                <w:b/>
                <w:i/>
                <w:sz w:val="22"/>
                <w:szCs w:val="22"/>
              </w:rPr>
              <w:t>споживачі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  <w:r w:rsidRPr="000019B4">
              <w:rPr>
                <w:b/>
                <w:i/>
                <w:sz w:val="22"/>
                <w:szCs w:val="22"/>
              </w:rPr>
              <w:t>в «населення» за видом балансоутримувачів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  <w:r w:rsidRPr="000019B4">
              <w:rPr>
                <w:b/>
                <w:i/>
                <w:sz w:val="22"/>
                <w:szCs w:val="22"/>
              </w:rPr>
              <w:t>будинків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11D6E" w:rsidRPr="000019B4" w:rsidRDefault="00311D6E" w:rsidP="006A007B">
            <w:pPr>
              <w:jc w:val="center"/>
              <w:rPr>
                <w:b/>
                <w:i/>
              </w:rPr>
            </w:pPr>
            <w:r w:rsidRPr="000019B4">
              <w:rPr>
                <w:b/>
                <w:i/>
                <w:sz w:val="22"/>
                <w:szCs w:val="22"/>
              </w:rPr>
              <w:t>Кількість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  <w:r w:rsidRPr="000019B4">
              <w:rPr>
                <w:b/>
                <w:i/>
                <w:sz w:val="22"/>
                <w:szCs w:val="22"/>
              </w:rPr>
              <w:t>будинків</w:t>
            </w:r>
            <w:r w:rsidR="003309BD" w:rsidRPr="000019B4">
              <w:rPr>
                <w:b/>
                <w:i/>
                <w:sz w:val="22"/>
                <w:szCs w:val="22"/>
              </w:rPr>
              <w:t xml:space="preserve"> </w:t>
            </w:r>
            <w:r w:rsidRPr="000019B4">
              <w:rPr>
                <w:b/>
                <w:i/>
                <w:sz w:val="22"/>
                <w:szCs w:val="22"/>
              </w:rPr>
              <w:t xml:space="preserve"> станом на 01.01.20р.</w:t>
            </w:r>
          </w:p>
        </w:tc>
      </w:tr>
      <w:tr w:rsidR="000019B4" w:rsidRPr="000019B4" w:rsidTr="006A007B">
        <w:trPr>
          <w:trHeight w:val="620"/>
          <w:jc w:val="center"/>
        </w:trPr>
        <w:tc>
          <w:tcPr>
            <w:tcW w:w="3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 xml:space="preserve">на </w:t>
            </w:r>
            <w:proofErr w:type="spellStart"/>
            <w:r w:rsidRPr="000019B4">
              <w:rPr>
                <w:sz w:val="22"/>
                <w:szCs w:val="22"/>
              </w:rPr>
              <w:t>абоненському</w:t>
            </w:r>
            <w:proofErr w:type="spellEnd"/>
            <w:r w:rsidR="003309BD" w:rsidRPr="000019B4">
              <w:rPr>
                <w:sz w:val="22"/>
                <w:szCs w:val="22"/>
              </w:rPr>
              <w:t xml:space="preserve">  </w:t>
            </w:r>
            <w:r w:rsidRPr="000019B4">
              <w:rPr>
                <w:sz w:val="22"/>
                <w:szCs w:val="22"/>
              </w:rPr>
              <w:t>обслуговуванні</w:t>
            </w:r>
            <w:r w:rsidR="003309BD" w:rsidRPr="00001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 xml:space="preserve">не на </w:t>
            </w:r>
            <w:proofErr w:type="spellStart"/>
            <w:r w:rsidRPr="000019B4">
              <w:rPr>
                <w:sz w:val="22"/>
                <w:szCs w:val="22"/>
              </w:rPr>
              <w:t>абоненському</w:t>
            </w:r>
            <w:proofErr w:type="spellEnd"/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обслуговуванні</w:t>
            </w:r>
            <w:r w:rsidR="003309BD" w:rsidRPr="000019B4">
              <w:rPr>
                <w:sz w:val="22"/>
                <w:szCs w:val="22"/>
              </w:rPr>
              <w:t xml:space="preserve"> 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КП «Теплий дім»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КП «Дирекція</w:t>
            </w:r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замовника»</w:t>
            </w:r>
            <w:r w:rsidR="003309BD" w:rsidRPr="00001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ЖБК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0019B4" w:rsidRPr="000019B4" w:rsidTr="006A007B">
        <w:trPr>
          <w:trHeight w:val="251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Управляючі</w:t>
            </w:r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компанії</w:t>
            </w:r>
            <w:r w:rsidR="003309BD" w:rsidRPr="00001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ОСББ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6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Приватні</w:t>
            </w:r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ж</w:t>
            </w:r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б</w:t>
            </w:r>
            <w:r w:rsidR="003309BD" w:rsidRPr="000019B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0019B4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Гуртожитки</w:t>
            </w:r>
            <w:r w:rsidR="003309BD" w:rsidRPr="000019B4">
              <w:rPr>
                <w:sz w:val="22"/>
                <w:szCs w:val="22"/>
              </w:rPr>
              <w:t xml:space="preserve"> </w:t>
            </w:r>
            <w:r w:rsidRPr="000019B4">
              <w:rPr>
                <w:sz w:val="22"/>
                <w:szCs w:val="22"/>
              </w:rPr>
              <w:t>підприємств</w:t>
            </w:r>
            <w:r w:rsidR="003309BD" w:rsidRPr="00001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0</w:t>
            </w:r>
          </w:p>
        </w:tc>
      </w:tr>
      <w:tr w:rsidR="00311D6E" w:rsidRPr="000019B4" w:rsidTr="006A007B">
        <w:trPr>
          <w:trHeight w:val="300"/>
          <w:jc w:val="center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ВСЬОГО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555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1D6E" w:rsidRPr="000019B4" w:rsidRDefault="00311D6E" w:rsidP="006A007B">
            <w:pPr>
              <w:jc w:val="center"/>
            </w:pPr>
            <w:r w:rsidRPr="000019B4">
              <w:rPr>
                <w:sz w:val="22"/>
                <w:szCs w:val="22"/>
              </w:rPr>
              <w:t>6</w:t>
            </w:r>
          </w:p>
        </w:tc>
      </w:tr>
    </w:tbl>
    <w:p w:rsidR="00311D6E" w:rsidRPr="000019B4" w:rsidRDefault="00311D6E" w:rsidP="00311D6E">
      <w:pPr>
        <w:jc w:val="center"/>
        <w:rPr>
          <w:sz w:val="28"/>
          <w:szCs w:val="28"/>
        </w:rPr>
      </w:pPr>
    </w:p>
    <w:p w:rsidR="00311D6E" w:rsidRPr="000019B4" w:rsidRDefault="00311D6E" w:rsidP="00311D6E">
      <w:pPr>
        <w:ind w:firstLine="708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Станом на 01.01.2020 р. підприємство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проводить технічне обслуговування</w:t>
      </w:r>
      <w:r w:rsidR="003309BD"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внутрішньобудинкової</w:t>
      </w:r>
      <w:proofErr w:type="spellEnd"/>
      <w:r w:rsidRPr="000019B4">
        <w:rPr>
          <w:sz w:val="28"/>
          <w:szCs w:val="28"/>
        </w:rPr>
        <w:t xml:space="preserve"> системи центрального опалення 582житловихбудинків, з них:</w:t>
      </w:r>
    </w:p>
    <w:p w:rsidR="00311D6E" w:rsidRPr="000019B4" w:rsidRDefault="00311D6E" w:rsidP="00311D6E">
      <w:pPr>
        <w:ind w:firstLine="708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- 442 будинки, які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отримують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теплоносій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від</w:t>
      </w:r>
      <w:r w:rsidR="003309BD"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котелень</w:t>
      </w:r>
      <w:proofErr w:type="spellEnd"/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 xml:space="preserve"> ДМП “ІФТКЕ” </w:t>
      </w:r>
    </w:p>
    <w:p w:rsidR="00311D6E" w:rsidRPr="000019B4" w:rsidRDefault="00311D6E" w:rsidP="00311D6E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>-140будинків, які</w:t>
      </w:r>
      <w:r w:rsidR="003309BD"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отримуют</w:t>
      </w:r>
      <w:proofErr w:type="spellEnd"/>
      <w:r w:rsidR="003309BD"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ьтеплоносій</w:t>
      </w:r>
      <w:proofErr w:type="spellEnd"/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від</w:t>
      </w:r>
      <w:r w:rsidR="003309BD"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котелень</w:t>
      </w:r>
      <w:proofErr w:type="spellEnd"/>
      <w:r w:rsidRPr="000019B4">
        <w:rPr>
          <w:sz w:val="28"/>
          <w:szCs w:val="28"/>
        </w:rPr>
        <w:t xml:space="preserve"> ТОВ “СТЕК”. </w:t>
      </w:r>
    </w:p>
    <w:p w:rsidR="00311D6E" w:rsidRPr="000019B4" w:rsidRDefault="00311D6E" w:rsidP="00311D6E">
      <w:pPr>
        <w:jc w:val="both"/>
        <w:rPr>
          <w:sz w:val="28"/>
          <w:szCs w:val="28"/>
        </w:rPr>
      </w:pPr>
      <w:r w:rsidRPr="000019B4">
        <w:rPr>
          <w:sz w:val="28"/>
          <w:szCs w:val="28"/>
        </w:rPr>
        <w:t>Площа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технічного</w:t>
      </w:r>
      <w:r w:rsidR="003309BD" w:rsidRPr="000019B4">
        <w:rPr>
          <w:sz w:val="28"/>
          <w:szCs w:val="28"/>
        </w:rPr>
        <w:t xml:space="preserve"> </w:t>
      </w:r>
      <w:r w:rsidRPr="000019B4">
        <w:rPr>
          <w:sz w:val="28"/>
          <w:szCs w:val="28"/>
        </w:rPr>
        <w:t>обслуговування – 1 998,543  тис. м²</w:t>
      </w:r>
    </w:p>
    <w:p w:rsidR="00311D6E" w:rsidRDefault="00311D6E" w:rsidP="00311D6E">
      <w:pPr>
        <w:ind w:firstLine="53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Станом на 1 січня 2020 року централізоване теплопостачання здійснюється до 561 житлових будинків .</w:t>
      </w:r>
    </w:p>
    <w:p w:rsidR="009702AA" w:rsidRPr="000019B4" w:rsidRDefault="009702AA" w:rsidP="00311D6E">
      <w:pPr>
        <w:ind w:firstLine="539"/>
        <w:jc w:val="both"/>
        <w:rPr>
          <w:sz w:val="28"/>
          <w:szCs w:val="28"/>
        </w:rPr>
      </w:pPr>
    </w:p>
    <w:p w:rsidR="00260E8E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Інформація про трудові ресурси підприємства</w:t>
      </w:r>
    </w:p>
    <w:p w:rsidR="009702AA" w:rsidRPr="000019B4" w:rsidRDefault="009702AA">
      <w:pPr>
        <w:jc w:val="center"/>
        <w:rPr>
          <w:b/>
          <w:sz w:val="28"/>
          <w:szCs w:val="28"/>
        </w:rPr>
      </w:pPr>
    </w:p>
    <w:tbl>
      <w:tblPr>
        <w:tblStyle w:val="a8"/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2"/>
        <w:gridCol w:w="2269"/>
        <w:gridCol w:w="1985"/>
        <w:gridCol w:w="1844"/>
      </w:tblGrid>
      <w:tr w:rsidR="000019B4" w:rsidRPr="000019B4">
        <w:trPr>
          <w:trHeight w:val="86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Показник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Факт 201</w:t>
            </w:r>
            <w:r w:rsidR="003356AD" w:rsidRPr="000019B4">
              <w:rPr>
                <w:sz w:val="26"/>
                <w:szCs w:val="26"/>
              </w:rPr>
              <w:t>8</w:t>
            </w:r>
            <w:r w:rsidRPr="000019B4">
              <w:rPr>
                <w:sz w:val="26"/>
                <w:szCs w:val="26"/>
              </w:rPr>
              <w:t xml:space="preserve"> 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Факт 201</w:t>
            </w:r>
            <w:r w:rsidR="003356AD" w:rsidRPr="000019B4">
              <w:rPr>
                <w:sz w:val="26"/>
                <w:szCs w:val="26"/>
              </w:rPr>
              <w:t>9</w:t>
            </w:r>
            <w:r w:rsidRPr="000019B4">
              <w:rPr>
                <w:sz w:val="26"/>
                <w:szCs w:val="26"/>
              </w:rPr>
              <w:t xml:space="preserve"> 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Відхилення </w:t>
            </w:r>
          </w:p>
        </w:tc>
      </w:tr>
      <w:tr w:rsidR="000019B4" w:rsidRPr="000019B4">
        <w:trPr>
          <w:trHeight w:val="42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E8E" w:rsidRPr="000019B4" w:rsidRDefault="00A204E9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4</w:t>
            </w:r>
          </w:p>
        </w:tc>
      </w:tr>
      <w:tr w:rsidR="000019B4" w:rsidRPr="000019B4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6AD" w:rsidRPr="000019B4" w:rsidRDefault="003356AD" w:rsidP="003356AD">
            <w:pPr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1. Середньооблікова кількість штатних працівників, осіб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542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540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-2</w:t>
            </w:r>
          </w:p>
        </w:tc>
      </w:tr>
      <w:tr w:rsidR="000019B4" w:rsidRPr="000019B4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6AD" w:rsidRPr="000019B4" w:rsidRDefault="003356AD" w:rsidP="003356AD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  в тому числі ІТП та АУП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148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147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-1</w:t>
            </w:r>
          </w:p>
        </w:tc>
      </w:tr>
      <w:tr w:rsidR="000019B4" w:rsidRPr="000019B4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6AD" w:rsidRPr="000019B4" w:rsidRDefault="003356AD" w:rsidP="003356AD">
            <w:pPr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2.Середньомісячна заробітна плата одного працівника, грн.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7063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9306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+2243</w:t>
            </w:r>
          </w:p>
        </w:tc>
      </w:tr>
      <w:tr w:rsidR="000019B4" w:rsidRPr="000019B4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6AD" w:rsidRPr="000019B4" w:rsidRDefault="003356AD" w:rsidP="003356AD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  в тому числі ІТП та АУП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8517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11592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6AD" w:rsidRPr="000019B4" w:rsidRDefault="003356AD" w:rsidP="003356AD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+3075</w:t>
            </w:r>
          </w:p>
        </w:tc>
      </w:tr>
    </w:tbl>
    <w:p w:rsidR="00260E8E" w:rsidRPr="000019B4" w:rsidRDefault="00A204E9">
      <w:pPr>
        <w:ind w:firstLine="567"/>
        <w:jc w:val="both"/>
      </w:pPr>
      <w:r w:rsidRPr="000019B4">
        <w:t xml:space="preserve">     </w:t>
      </w:r>
    </w:p>
    <w:p w:rsidR="00260E8E" w:rsidRPr="000019B4" w:rsidRDefault="00A204E9">
      <w:pPr>
        <w:ind w:firstLine="567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Протягом 201</w:t>
      </w:r>
      <w:r w:rsidR="003356AD" w:rsidRPr="000019B4">
        <w:rPr>
          <w:sz w:val="28"/>
          <w:szCs w:val="28"/>
        </w:rPr>
        <w:t>9</w:t>
      </w:r>
      <w:r w:rsidRPr="000019B4">
        <w:rPr>
          <w:sz w:val="28"/>
          <w:szCs w:val="28"/>
        </w:rPr>
        <w:t xml:space="preserve"> року відбулося зменшення чисельності працівників  підприємства на 2 осіб у зв</w:t>
      </w:r>
      <w:r w:rsidRPr="000019B4">
        <w:rPr>
          <w:sz w:val="28"/>
          <w:szCs w:val="28"/>
          <w:vertAlign w:val="superscript"/>
        </w:rPr>
        <w:t>’</w:t>
      </w:r>
      <w:r w:rsidRPr="000019B4">
        <w:rPr>
          <w:sz w:val="28"/>
          <w:szCs w:val="28"/>
        </w:rPr>
        <w:t xml:space="preserve">язку з плинністю кадрів. </w:t>
      </w:r>
    </w:p>
    <w:p w:rsidR="00260E8E" w:rsidRPr="000019B4" w:rsidRDefault="00A204E9">
      <w:pPr>
        <w:ind w:firstLine="567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Середньомісячна заробітна плата по підприємству за 201</w:t>
      </w:r>
      <w:r w:rsidR="003356AD" w:rsidRPr="000019B4">
        <w:rPr>
          <w:sz w:val="28"/>
          <w:szCs w:val="28"/>
        </w:rPr>
        <w:t>9</w:t>
      </w:r>
      <w:r w:rsidRPr="000019B4">
        <w:rPr>
          <w:sz w:val="28"/>
          <w:szCs w:val="28"/>
        </w:rPr>
        <w:t xml:space="preserve"> рік зросла з у зв</w:t>
      </w:r>
      <w:r w:rsidRPr="000019B4">
        <w:rPr>
          <w:sz w:val="28"/>
          <w:szCs w:val="28"/>
          <w:vertAlign w:val="superscript"/>
        </w:rPr>
        <w:t>’</w:t>
      </w:r>
      <w:r w:rsidRPr="000019B4">
        <w:rPr>
          <w:sz w:val="28"/>
          <w:szCs w:val="28"/>
        </w:rPr>
        <w:t>язку з ростом мінімальної заробітної плати, прожиткового мінімуму та приведенням заробітної плати до вимог галузевої угоди.</w:t>
      </w:r>
    </w:p>
    <w:p w:rsidR="00260E8E" w:rsidRPr="000019B4" w:rsidRDefault="00A204E9">
      <w:pPr>
        <w:spacing w:after="160" w:line="259" w:lineRule="auto"/>
        <w:ind w:firstLine="567"/>
        <w:rPr>
          <w:sz w:val="28"/>
          <w:szCs w:val="28"/>
        </w:rPr>
      </w:pPr>
      <w:r w:rsidRPr="000019B4">
        <w:rPr>
          <w:sz w:val="28"/>
          <w:szCs w:val="28"/>
        </w:rPr>
        <w:t>Середньооблікова чисельність працівників за 201</w:t>
      </w:r>
      <w:r w:rsidR="003356AD" w:rsidRPr="000019B4">
        <w:rPr>
          <w:sz w:val="28"/>
          <w:szCs w:val="28"/>
        </w:rPr>
        <w:t>9</w:t>
      </w:r>
      <w:r w:rsidRPr="000019B4">
        <w:rPr>
          <w:sz w:val="28"/>
          <w:szCs w:val="28"/>
        </w:rPr>
        <w:t xml:space="preserve"> р. – 54</w:t>
      </w:r>
      <w:r w:rsidR="003356AD" w:rsidRPr="000019B4">
        <w:rPr>
          <w:sz w:val="28"/>
          <w:szCs w:val="28"/>
        </w:rPr>
        <w:t>0</w:t>
      </w:r>
      <w:r w:rsidRPr="000019B4">
        <w:rPr>
          <w:sz w:val="28"/>
          <w:szCs w:val="28"/>
        </w:rPr>
        <w:t xml:space="preserve"> </w:t>
      </w:r>
      <w:proofErr w:type="spellStart"/>
      <w:r w:rsidRPr="000019B4">
        <w:rPr>
          <w:sz w:val="28"/>
          <w:szCs w:val="28"/>
        </w:rPr>
        <w:t>чол</w:t>
      </w:r>
      <w:proofErr w:type="spellEnd"/>
      <w:r w:rsidRPr="000019B4">
        <w:rPr>
          <w:sz w:val="28"/>
          <w:szCs w:val="28"/>
        </w:rPr>
        <w:t>.</w:t>
      </w:r>
    </w:p>
    <w:p w:rsidR="00260E8E" w:rsidRPr="000019B4" w:rsidRDefault="00260E8E">
      <w:pPr>
        <w:spacing w:after="160" w:line="259" w:lineRule="auto"/>
        <w:jc w:val="center"/>
        <w:rPr>
          <w:b/>
          <w:sz w:val="28"/>
          <w:szCs w:val="28"/>
        </w:rPr>
      </w:pPr>
    </w:p>
    <w:p w:rsidR="00260E8E" w:rsidRPr="000019B4" w:rsidRDefault="00A204E9">
      <w:pPr>
        <w:spacing w:after="160" w:line="259" w:lineRule="auto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Основні показники роботи</w:t>
      </w:r>
    </w:p>
    <w:p w:rsidR="006C344B" w:rsidRPr="000019B4" w:rsidRDefault="006C344B" w:rsidP="006C344B">
      <w:pPr>
        <w:ind w:firstLine="567"/>
        <w:jc w:val="both"/>
        <w:rPr>
          <w:sz w:val="28"/>
          <w:szCs w:val="28"/>
        </w:rPr>
      </w:pPr>
      <w:bookmarkStart w:id="1" w:name="_gjdgxs" w:colFirst="0" w:colLast="0"/>
      <w:bookmarkEnd w:id="1"/>
      <w:r w:rsidRPr="000019B4">
        <w:rPr>
          <w:sz w:val="28"/>
          <w:szCs w:val="28"/>
        </w:rPr>
        <w:t>Протягом 2019 року ДМП «Івано-</w:t>
      </w:r>
      <w:proofErr w:type="spellStart"/>
      <w:r w:rsidRPr="000019B4">
        <w:rPr>
          <w:sz w:val="28"/>
          <w:szCs w:val="28"/>
        </w:rPr>
        <w:t>Франківськтеплокомуненерго</w:t>
      </w:r>
      <w:proofErr w:type="spellEnd"/>
      <w:r w:rsidRPr="000019B4">
        <w:rPr>
          <w:sz w:val="28"/>
          <w:szCs w:val="28"/>
        </w:rPr>
        <w:t xml:space="preserve">» виробило 254 401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b/>
          <w:sz w:val="28"/>
          <w:szCs w:val="28"/>
        </w:rPr>
        <w:t xml:space="preserve"> </w:t>
      </w:r>
      <w:r w:rsidRPr="000019B4">
        <w:rPr>
          <w:sz w:val="28"/>
          <w:szCs w:val="28"/>
        </w:rPr>
        <w:t xml:space="preserve">теплової енергії, в свою чергу 8 458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 були вироблені </w:t>
      </w:r>
      <w:proofErr w:type="spellStart"/>
      <w:r w:rsidRPr="000019B4">
        <w:rPr>
          <w:sz w:val="28"/>
          <w:szCs w:val="28"/>
        </w:rPr>
        <w:t>когенераційними</w:t>
      </w:r>
      <w:proofErr w:type="spellEnd"/>
      <w:r w:rsidRPr="000019B4">
        <w:rPr>
          <w:sz w:val="28"/>
          <w:szCs w:val="28"/>
        </w:rPr>
        <w:t xml:space="preserve"> установками підприємства, 4 626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 вироблені котлами, які працюють на відходах деревини і 241 316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 - газовими котлами. </w:t>
      </w:r>
    </w:p>
    <w:p w:rsidR="006C344B" w:rsidRPr="000019B4" w:rsidRDefault="006C344B" w:rsidP="006C344B">
      <w:pPr>
        <w:ind w:firstLine="567"/>
        <w:jc w:val="both"/>
        <w:rPr>
          <w:sz w:val="28"/>
          <w:szCs w:val="28"/>
        </w:rPr>
      </w:pPr>
      <w:bookmarkStart w:id="2" w:name="_tu117l5z8sf0" w:colFirst="0" w:colLast="0"/>
      <w:bookmarkEnd w:id="2"/>
      <w:r w:rsidRPr="000019B4">
        <w:rPr>
          <w:sz w:val="28"/>
          <w:szCs w:val="28"/>
        </w:rPr>
        <w:t xml:space="preserve">Втрати теплової енергії за 2019 рік становлять 37 360 </w:t>
      </w:r>
      <w:proofErr w:type="spellStart"/>
      <w:r w:rsidRPr="000019B4">
        <w:rPr>
          <w:sz w:val="28"/>
          <w:szCs w:val="28"/>
        </w:rPr>
        <w:t>Гкал</w:t>
      </w:r>
      <w:proofErr w:type="spellEnd"/>
      <w:r w:rsidRPr="000019B4">
        <w:rPr>
          <w:sz w:val="28"/>
          <w:szCs w:val="28"/>
        </w:rPr>
        <w:t xml:space="preserve"> (15%).</w:t>
      </w:r>
    </w:p>
    <w:p w:rsidR="006C344B" w:rsidRPr="000019B4" w:rsidRDefault="006C344B" w:rsidP="006C344B">
      <w:pPr>
        <w:ind w:firstLine="567"/>
        <w:jc w:val="both"/>
        <w:rPr>
          <w:sz w:val="28"/>
          <w:szCs w:val="28"/>
        </w:rPr>
      </w:pPr>
    </w:p>
    <w:p w:rsidR="006C344B" w:rsidRPr="000019B4" w:rsidRDefault="006C344B" w:rsidP="006C344B">
      <w:pPr>
        <w:ind w:firstLine="567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За минулий рік підприємство спожило 8045,3 тис. кВт*год електроенергії з них:</w:t>
      </w:r>
    </w:p>
    <w:p w:rsidR="006C344B" w:rsidRPr="000019B4" w:rsidRDefault="006C344B" w:rsidP="006C344B">
      <w:pPr>
        <w:ind w:left="1286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*  закуплено 5672,0 тис. кВт*год в ТОВ «</w:t>
      </w:r>
      <w:proofErr w:type="spellStart"/>
      <w:r w:rsidRPr="000019B4">
        <w:rPr>
          <w:sz w:val="28"/>
          <w:szCs w:val="28"/>
        </w:rPr>
        <w:t>Прикарпатенерготрейд</w:t>
      </w:r>
      <w:proofErr w:type="spellEnd"/>
      <w:r w:rsidRPr="000019B4">
        <w:rPr>
          <w:sz w:val="28"/>
          <w:szCs w:val="28"/>
        </w:rPr>
        <w:t>»</w:t>
      </w:r>
    </w:p>
    <w:p w:rsidR="006C344B" w:rsidRPr="000019B4" w:rsidRDefault="006C344B" w:rsidP="006C344B">
      <w:pPr>
        <w:numPr>
          <w:ilvl w:val="0"/>
          <w:numId w:val="1"/>
        </w:numPr>
        <w:ind w:firstLine="566"/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  власного виробництва </w:t>
      </w:r>
      <w:proofErr w:type="spellStart"/>
      <w:r w:rsidRPr="000019B4">
        <w:rPr>
          <w:sz w:val="28"/>
          <w:szCs w:val="28"/>
        </w:rPr>
        <w:t>когенераційними</w:t>
      </w:r>
      <w:proofErr w:type="spellEnd"/>
      <w:r w:rsidRPr="000019B4">
        <w:rPr>
          <w:sz w:val="28"/>
          <w:szCs w:val="28"/>
        </w:rPr>
        <w:t xml:space="preserve"> установками  8103,7 тис. кВт*год.</w:t>
      </w:r>
    </w:p>
    <w:p w:rsidR="00260E8E" w:rsidRPr="000019B4" w:rsidRDefault="006C344B" w:rsidP="006C344B">
      <w:pPr>
        <w:ind w:firstLine="567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Загалом за рік спожито 33 908 тис. н.м</w:t>
      </w:r>
      <w:r w:rsidRPr="000019B4">
        <w:rPr>
          <w:sz w:val="28"/>
          <w:szCs w:val="28"/>
          <w:vertAlign w:val="superscript"/>
        </w:rPr>
        <w:t>3</w:t>
      </w:r>
      <w:r w:rsidRPr="000019B4">
        <w:rPr>
          <w:sz w:val="28"/>
          <w:szCs w:val="28"/>
        </w:rPr>
        <w:t xml:space="preserve"> природного газу. </w:t>
      </w:r>
      <w:r w:rsidR="00A204E9" w:rsidRPr="000019B4">
        <w:rPr>
          <w:sz w:val="28"/>
          <w:szCs w:val="28"/>
        </w:rPr>
        <w:t>Станом на 01.01.20</w:t>
      </w:r>
      <w:r w:rsidR="001B5733" w:rsidRPr="000019B4">
        <w:rPr>
          <w:sz w:val="28"/>
          <w:szCs w:val="28"/>
        </w:rPr>
        <w:t>20</w:t>
      </w:r>
      <w:r w:rsidR="00A204E9" w:rsidRPr="000019B4">
        <w:rPr>
          <w:sz w:val="28"/>
          <w:szCs w:val="28"/>
        </w:rPr>
        <w:t xml:space="preserve"> р. заборгованість за природний газ та за послуги з розподілу і транспортування газу становив </w:t>
      </w:r>
      <w:r w:rsidR="00720D5E" w:rsidRPr="000019B4">
        <w:rPr>
          <w:sz w:val="28"/>
          <w:szCs w:val="28"/>
        </w:rPr>
        <w:t>258,7</w:t>
      </w:r>
      <w:r w:rsidR="00A204E9" w:rsidRPr="000019B4">
        <w:rPr>
          <w:sz w:val="28"/>
          <w:szCs w:val="28"/>
        </w:rPr>
        <w:t xml:space="preserve"> млн. грн.     </w:t>
      </w:r>
    </w:p>
    <w:p w:rsidR="00260E8E" w:rsidRPr="000019B4" w:rsidRDefault="006C344B" w:rsidP="00122F90">
      <w:pPr>
        <w:ind w:firstLine="567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Протягом року ДМП «Івано-</w:t>
      </w:r>
      <w:proofErr w:type="spellStart"/>
      <w:r w:rsidRPr="000019B4">
        <w:rPr>
          <w:sz w:val="28"/>
          <w:szCs w:val="28"/>
        </w:rPr>
        <w:t>Франківськтеплокомуненерго</w:t>
      </w:r>
      <w:proofErr w:type="spellEnd"/>
      <w:r w:rsidRPr="000019B4">
        <w:rPr>
          <w:sz w:val="28"/>
          <w:szCs w:val="28"/>
        </w:rPr>
        <w:t>» спожило 290 тис. м</w:t>
      </w:r>
      <w:r w:rsidRPr="000019B4">
        <w:rPr>
          <w:sz w:val="28"/>
          <w:szCs w:val="28"/>
          <w:vertAlign w:val="superscript"/>
        </w:rPr>
        <w:t>3</w:t>
      </w:r>
      <w:r w:rsidRPr="000019B4">
        <w:rPr>
          <w:sz w:val="28"/>
          <w:szCs w:val="28"/>
        </w:rPr>
        <w:t xml:space="preserve"> води. </w:t>
      </w:r>
      <w:r w:rsidR="00B400D0" w:rsidRPr="000019B4">
        <w:rPr>
          <w:sz w:val="28"/>
          <w:szCs w:val="28"/>
        </w:rPr>
        <w:t>Ста</w:t>
      </w:r>
      <w:r w:rsidR="00A204E9" w:rsidRPr="000019B4">
        <w:rPr>
          <w:sz w:val="28"/>
          <w:szCs w:val="28"/>
        </w:rPr>
        <w:t>ном на 01.01.20</w:t>
      </w:r>
      <w:r w:rsidR="001B5733" w:rsidRPr="000019B4">
        <w:rPr>
          <w:sz w:val="28"/>
          <w:szCs w:val="28"/>
        </w:rPr>
        <w:t>20</w:t>
      </w:r>
      <w:r w:rsidR="00A204E9" w:rsidRPr="000019B4">
        <w:rPr>
          <w:sz w:val="28"/>
          <w:szCs w:val="28"/>
        </w:rPr>
        <w:t xml:space="preserve"> р. </w:t>
      </w:r>
      <w:r w:rsidR="00122F90" w:rsidRPr="000019B4">
        <w:rPr>
          <w:sz w:val="28"/>
          <w:szCs w:val="28"/>
        </w:rPr>
        <w:t xml:space="preserve">загальний </w:t>
      </w:r>
      <w:r w:rsidR="00A204E9" w:rsidRPr="000019B4">
        <w:rPr>
          <w:sz w:val="28"/>
          <w:szCs w:val="28"/>
        </w:rPr>
        <w:t xml:space="preserve">борг за надані послуги з водопостачання і водовідведення становив </w:t>
      </w:r>
      <w:r w:rsidR="001B5733" w:rsidRPr="000019B4">
        <w:rPr>
          <w:sz w:val="28"/>
          <w:szCs w:val="28"/>
        </w:rPr>
        <w:t>11</w:t>
      </w:r>
      <w:r w:rsidR="00A204E9" w:rsidRPr="000019B4">
        <w:rPr>
          <w:sz w:val="28"/>
          <w:szCs w:val="28"/>
        </w:rPr>
        <w:t>,</w:t>
      </w:r>
      <w:r w:rsidR="001B5733" w:rsidRPr="000019B4">
        <w:rPr>
          <w:sz w:val="28"/>
          <w:szCs w:val="28"/>
        </w:rPr>
        <w:t>3</w:t>
      </w:r>
      <w:r w:rsidR="00A204E9" w:rsidRPr="000019B4">
        <w:rPr>
          <w:sz w:val="28"/>
          <w:szCs w:val="28"/>
        </w:rPr>
        <w:t xml:space="preserve"> млн. грн.</w:t>
      </w:r>
      <w:r w:rsidR="00122F90" w:rsidRPr="000019B4">
        <w:rPr>
          <w:sz w:val="28"/>
          <w:szCs w:val="28"/>
        </w:rPr>
        <w:t xml:space="preserve"> (в т. ч. 2,</w:t>
      </w:r>
      <w:r w:rsidR="00720D5E" w:rsidRPr="000019B4">
        <w:rPr>
          <w:sz w:val="28"/>
          <w:szCs w:val="28"/>
        </w:rPr>
        <w:t>4</w:t>
      </w:r>
      <w:r w:rsidR="00122F90" w:rsidRPr="000019B4">
        <w:rPr>
          <w:sz w:val="28"/>
          <w:szCs w:val="28"/>
        </w:rPr>
        <w:t xml:space="preserve"> млн. грн. за 201</w:t>
      </w:r>
      <w:r w:rsidR="001B5733" w:rsidRPr="000019B4">
        <w:rPr>
          <w:sz w:val="28"/>
          <w:szCs w:val="28"/>
        </w:rPr>
        <w:t>9</w:t>
      </w:r>
      <w:r w:rsidR="00122F90" w:rsidRPr="000019B4">
        <w:rPr>
          <w:sz w:val="28"/>
          <w:szCs w:val="28"/>
        </w:rPr>
        <w:t xml:space="preserve"> рік).</w:t>
      </w:r>
    </w:p>
    <w:p w:rsidR="00260E8E" w:rsidRPr="000019B4" w:rsidRDefault="00260E8E"/>
    <w:p w:rsidR="00260E8E" w:rsidRPr="000019B4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Інформація про стан заборгованості за природний газ та послуги з розподілу і транспортування газу станом на 01.01.20</w:t>
      </w:r>
      <w:r w:rsidR="00421002" w:rsidRPr="000019B4">
        <w:rPr>
          <w:b/>
          <w:sz w:val="28"/>
          <w:szCs w:val="28"/>
        </w:rPr>
        <w:t>20</w:t>
      </w:r>
      <w:r w:rsidRPr="000019B4">
        <w:rPr>
          <w:b/>
          <w:sz w:val="28"/>
          <w:szCs w:val="28"/>
        </w:rPr>
        <w:t>р.</w:t>
      </w:r>
    </w:p>
    <w:p w:rsidR="00260E8E" w:rsidRPr="000019B4" w:rsidRDefault="00260E8E"/>
    <w:p w:rsidR="00260E8E" w:rsidRPr="000019B4" w:rsidRDefault="00260E8E"/>
    <w:tbl>
      <w:tblPr>
        <w:tblStyle w:val="a9"/>
        <w:tblW w:w="980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984"/>
        <w:gridCol w:w="1680"/>
        <w:gridCol w:w="1764"/>
        <w:gridCol w:w="1538"/>
        <w:gridCol w:w="1418"/>
        <w:gridCol w:w="1417"/>
      </w:tblGrid>
      <w:tr w:rsidR="000019B4" w:rsidRPr="000019B4" w:rsidTr="006A007B">
        <w:trPr>
          <w:trHeight w:val="3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center"/>
              <w:rPr>
                <w:rFonts w:eastAsia="Calibri"/>
              </w:rPr>
            </w:pPr>
            <w:r w:rsidRPr="000019B4">
              <w:rPr>
                <w:rFonts w:eastAsia="Calibri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Загальний борг</w:t>
            </w:r>
          </w:p>
        </w:tc>
        <w:tc>
          <w:tcPr>
            <w:tcW w:w="6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 xml:space="preserve">в </w:t>
            </w:r>
            <w:proofErr w:type="spellStart"/>
            <w:r w:rsidRPr="000019B4">
              <w:rPr>
                <w:rFonts w:eastAsia="Calibri"/>
                <w:b/>
                <w:sz w:val="22"/>
                <w:szCs w:val="22"/>
              </w:rPr>
              <w:t>т.ч</w:t>
            </w:r>
            <w:proofErr w:type="spellEnd"/>
            <w:r w:rsidRPr="000019B4">
              <w:rPr>
                <w:rFonts w:eastAsia="Calibri"/>
                <w:b/>
                <w:sz w:val="22"/>
                <w:szCs w:val="22"/>
              </w:rPr>
              <w:t>.</w:t>
            </w:r>
          </w:p>
        </w:tc>
      </w:tr>
      <w:tr w:rsidR="000019B4" w:rsidRPr="000019B4" w:rsidTr="006A007B">
        <w:trPr>
          <w:trHeight w:val="202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НАК "НАФТОГАЗ УКРАЇНИ"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ind w:left="-274" w:firstLine="274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ДК "ГАЗ УКРАЇНИ"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ПАТ "Івано-</w:t>
            </w:r>
            <w:proofErr w:type="spellStart"/>
            <w:r w:rsidRPr="000019B4">
              <w:rPr>
                <w:rFonts w:eastAsia="Calibri"/>
                <w:b/>
                <w:sz w:val="22"/>
                <w:szCs w:val="22"/>
              </w:rPr>
              <w:t>Франківськгаз</w:t>
            </w:r>
            <w:proofErr w:type="spellEnd"/>
            <w:r w:rsidRPr="000019B4">
              <w:rPr>
                <w:rFonts w:eastAsia="Calibri"/>
                <w:b/>
                <w:sz w:val="22"/>
                <w:szCs w:val="22"/>
              </w:rPr>
              <w:t>"          (розподіл газу)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D5E" w:rsidRPr="000019B4" w:rsidRDefault="00720D5E" w:rsidP="006A007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Оператор газотранспортної системи України          (транспортування газу)</w:t>
            </w:r>
          </w:p>
        </w:tc>
      </w:tr>
      <w:tr w:rsidR="000019B4" w:rsidRPr="000019B4" w:rsidTr="006A007B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ВСЬОГО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268 330 607,32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230 593 307,89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30 514 788,78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6 911 190,95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b/>
                <w:sz w:val="22"/>
                <w:szCs w:val="22"/>
              </w:rPr>
            </w:pPr>
            <w:r w:rsidRPr="000019B4">
              <w:rPr>
                <w:rFonts w:eastAsia="Calibri"/>
                <w:b/>
                <w:sz w:val="22"/>
                <w:szCs w:val="22"/>
              </w:rPr>
              <w:t>311 319,70</w:t>
            </w:r>
          </w:p>
        </w:tc>
      </w:tr>
      <w:tr w:rsidR="000019B4" w:rsidRPr="000019B4" w:rsidTr="006A007B">
        <w:trPr>
          <w:trHeight w:val="94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0019B4">
              <w:rPr>
                <w:rFonts w:eastAsia="Calibri"/>
                <w:sz w:val="22"/>
                <w:szCs w:val="22"/>
              </w:rPr>
              <w:t>реструктуризована</w:t>
            </w:r>
            <w:proofErr w:type="spellEnd"/>
            <w:r w:rsidRPr="000019B4">
              <w:rPr>
                <w:rFonts w:eastAsia="Calibri"/>
                <w:sz w:val="22"/>
                <w:szCs w:val="22"/>
              </w:rPr>
              <w:t xml:space="preserve"> заборгованість (2009-2014рр)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54 231 670,89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  <w:lang w:val="en-US"/>
              </w:rPr>
              <w:t>30</w:t>
            </w:r>
            <w:r w:rsidRPr="000019B4">
              <w:rPr>
                <w:rFonts w:eastAsia="Calibri"/>
                <w:sz w:val="22"/>
                <w:szCs w:val="22"/>
              </w:rPr>
              <w:t> </w:t>
            </w:r>
            <w:r w:rsidRPr="000019B4">
              <w:rPr>
                <w:rFonts w:eastAsia="Calibri"/>
                <w:sz w:val="22"/>
                <w:szCs w:val="22"/>
                <w:lang w:val="en-US"/>
              </w:rPr>
              <w:t>960</w:t>
            </w:r>
            <w:r w:rsidRPr="000019B4">
              <w:rPr>
                <w:rFonts w:eastAsia="Calibri"/>
                <w:sz w:val="22"/>
                <w:szCs w:val="22"/>
              </w:rPr>
              <w:t xml:space="preserve"> </w:t>
            </w:r>
            <w:r w:rsidRPr="000019B4">
              <w:rPr>
                <w:rFonts w:eastAsia="Calibri"/>
                <w:sz w:val="22"/>
                <w:szCs w:val="22"/>
                <w:lang w:val="en-US"/>
              </w:rPr>
              <w:t>814</w:t>
            </w:r>
            <w:r w:rsidRPr="000019B4">
              <w:rPr>
                <w:rFonts w:eastAsia="Calibri"/>
                <w:sz w:val="22"/>
                <w:szCs w:val="22"/>
              </w:rPr>
              <w:t>,70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23 270 856,19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</w:tr>
      <w:tr w:rsidR="000019B4" w:rsidRPr="000019B4" w:rsidTr="006A007B">
        <w:trPr>
          <w:trHeight w:val="126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штрафні санкції (підлягають списанню після сплати основного боргу)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43 591 437,66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36 347 505,07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7 243 932,59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</w:tr>
      <w:tr w:rsidR="000019B4" w:rsidRPr="000019B4" w:rsidTr="006A007B">
        <w:trPr>
          <w:trHeight w:val="62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судовий збір (підлягає сплаті)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1 046 066,72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1 017 917,10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28 149,62</w:t>
            </w:r>
          </w:p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019B4" w:rsidRPr="000019B4" w:rsidTr="006A007B">
        <w:trPr>
          <w:trHeight w:val="62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 xml:space="preserve">заборгованість за </w:t>
            </w:r>
            <w:proofErr w:type="spellStart"/>
            <w:r w:rsidRPr="000019B4">
              <w:rPr>
                <w:rFonts w:eastAsia="Calibri"/>
                <w:sz w:val="22"/>
                <w:szCs w:val="22"/>
              </w:rPr>
              <w:t>оп.сезон</w:t>
            </w:r>
            <w:proofErr w:type="spellEnd"/>
            <w:r w:rsidRPr="000019B4">
              <w:rPr>
                <w:rFonts w:eastAsia="Calibri"/>
                <w:sz w:val="22"/>
                <w:szCs w:val="22"/>
              </w:rPr>
              <w:t xml:space="preserve"> 2018-2019рр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91 106 683,31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91 106 683,31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</w:tr>
      <w:tr w:rsidR="000019B4" w:rsidRPr="000019B4" w:rsidTr="006A007B">
        <w:trPr>
          <w:trHeight w:val="620"/>
        </w:trPr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 xml:space="preserve">заборгованість за </w:t>
            </w:r>
            <w:proofErr w:type="spellStart"/>
            <w:r w:rsidRPr="000019B4">
              <w:rPr>
                <w:rFonts w:eastAsia="Calibri"/>
                <w:sz w:val="22"/>
                <w:szCs w:val="22"/>
              </w:rPr>
              <w:t>оп.сезон</w:t>
            </w:r>
            <w:proofErr w:type="spellEnd"/>
            <w:r w:rsidRPr="000019B4">
              <w:rPr>
                <w:rFonts w:eastAsia="Calibri"/>
                <w:sz w:val="22"/>
                <w:szCs w:val="22"/>
              </w:rPr>
              <w:t xml:space="preserve"> 2019-2020рр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78 354 748,74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71 160 387,71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6 911 190,95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  <w:r w:rsidRPr="000019B4">
              <w:rPr>
                <w:rFonts w:eastAsia="Calibri"/>
                <w:sz w:val="22"/>
                <w:szCs w:val="22"/>
              </w:rPr>
              <w:t>283 170,08</w:t>
            </w:r>
          </w:p>
          <w:p w:rsidR="00720D5E" w:rsidRPr="000019B4" w:rsidRDefault="00720D5E" w:rsidP="006A007B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</w:tbl>
    <w:p w:rsidR="00720D5E" w:rsidRPr="000019B4" w:rsidRDefault="00720D5E">
      <w:pPr>
        <w:jc w:val="center"/>
        <w:rPr>
          <w:b/>
          <w:sz w:val="28"/>
          <w:szCs w:val="28"/>
        </w:rPr>
      </w:pPr>
    </w:p>
    <w:p w:rsidR="00260E8E" w:rsidRPr="000019B4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Інформація про нарахування та оплату за спожиту теплову енергію та інші види діяльності</w:t>
      </w:r>
    </w:p>
    <w:p w:rsidR="00260E8E" w:rsidRPr="000019B4" w:rsidRDefault="00260E8E"/>
    <w:tbl>
      <w:tblPr>
        <w:tblStyle w:val="aa"/>
        <w:tblW w:w="8177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62"/>
        <w:gridCol w:w="1643"/>
        <w:gridCol w:w="1624"/>
        <w:gridCol w:w="1624"/>
        <w:gridCol w:w="1624"/>
      </w:tblGrid>
      <w:tr w:rsidR="000019B4" w:rsidRPr="000019B4" w:rsidTr="00797E09">
        <w:trPr>
          <w:trHeight w:val="600"/>
          <w:jc w:val="center"/>
        </w:trPr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 w:rsidRPr="000019B4">
              <w:rPr>
                <w:rFonts w:eastAsia="Arial"/>
                <w:b/>
                <w:sz w:val="20"/>
                <w:szCs w:val="20"/>
              </w:rPr>
              <w:t>Категорія споживачів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 w:rsidRPr="000019B4">
              <w:rPr>
                <w:rFonts w:eastAsia="Arial"/>
                <w:b/>
                <w:sz w:val="20"/>
                <w:szCs w:val="20"/>
              </w:rPr>
              <w:t>Сальдо на 01.12.2019р.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 w:rsidRPr="000019B4">
              <w:rPr>
                <w:rFonts w:eastAsia="Arial"/>
                <w:b/>
                <w:sz w:val="20"/>
                <w:szCs w:val="20"/>
              </w:rPr>
              <w:t>Нараховано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proofErr w:type="spellStart"/>
            <w:r w:rsidRPr="000019B4">
              <w:rPr>
                <w:rFonts w:eastAsia="Arial"/>
                <w:b/>
                <w:sz w:val="20"/>
                <w:szCs w:val="20"/>
              </w:rPr>
              <w:t>Оплачено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 w:rsidRPr="000019B4">
              <w:rPr>
                <w:rFonts w:eastAsia="Arial"/>
                <w:b/>
                <w:sz w:val="20"/>
                <w:szCs w:val="20"/>
              </w:rPr>
              <w:t>Сальдо на 01.01.2020р.</w:t>
            </w:r>
          </w:p>
        </w:tc>
      </w:tr>
      <w:tr w:rsidR="000019B4" w:rsidRPr="000019B4" w:rsidTr="00797E09">
        <w:trPr>
          <w:trHeight w:val="3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0019B4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0019B4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0019B4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0019B4">
              <w:rPr>
                <w:rFonts w:eastAsia="Arial"/>
                <w:sz w:val="20"/>
                <w:szCs w:val="20"/>
              </w:rPr>
              <w:t>4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0019B4">
              <w:rPr>
                <w:rFonts w:eastAsia="Arial"/>
                <w:sz w:val="20"/>
                <w:szCs w:val="20"/>
              </w:rPr>
              <w:t>5</w:t>
            </w:r>
          </w:p>
        </w:tc>
      </w:tr>
      <w:tr w:rsidR="000019B4" w:rsidRPr="000019B4" w:rsidTr="00797E09">
        <w:trPr>
          <w:trHeight w:val="8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1.1. Державний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1476742,56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3141031,37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5427943,82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-810169,89</w:t>
            </w:r>
          </w:p>
        </w:tc>
      </w:tr>
      <w:tr w:rsidR="000019B4" w:rsidRPr="000019B4" w:rsidTr="00797E09">
        <w:trPr>
          <w:trHeight w:val="84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1.2. Обласний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1236509,00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2851519,21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6329955,02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-2241926,81</w:t>
            </w:r>
          </w:p>
        </w:tc>
      </w:tr>
      <w:tr w:rsidR="000019B4" w:rsidRPr="000019B4" w:rsidTr="00797E09">
        <w:trPr>
          <w:trHeight w:val="820"/>
          <w:jc w:val="center"/>
        </w:trPr>
        <w:tc>
          <w:tcPr>
            <w:tcW w:w="1662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1.3.Міський бюджет</w:t>
            </w:r>
          </w:p>
        </w:tc>
        <w:tc>
          <w:tcPr>
            <w:tcW w:w="16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39688214,60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8006501,66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460104,89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47234611,37</w:t>
            </w:r>
          </w:p>
        </w:tc>
      </w:tr>
      <w:tr w:rsidR="000019B4" w:rsidRPr="000019B4" w:rsidTr="00797E09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0019B4" w:rsidRPr="000019B4" w:rsidTr="00797E09">
        <w:trPr>
          <w:trHeight w:val="740"/>
          <w:jc w:val="center"/>
        </w:trPr>
        <w:tc>
          <w:tcPr>
            <w:tcW w:w="1662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1.4 Інші споживачі</w:t>
            </w:r>
          </w:p>
        </w:tc>
        <w:tc>
          <w:tcPr>
            <w:tcW w:w="16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12550746,32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2080274,78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949033,83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13681987,27</w:t>
            </w:r>
          </w:p>
        </w:tc>
      </w:tr>
      <w:tr w:rsidR="000019B4" w:rsidRPr="000019B4" w:rsidTr="00797E09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0019B4" w:rsidRPr="000019B4" w:rsidTr="00797E09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0019B4" w:rsidRPr="000019B4" w:rsidTr="00797E09">
        <w:trPr>
          <w:trHeight w:val="72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2. Населення 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90191022,47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36419378,87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sz w:val="22"/>
                <w:szCs w:val="22"/>
              </w:rPr>
              <w:t>23934182,47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102676218,87</w:t>
            </w:r>
          </w:p>
        </w:tc>
      </w:tr>
      <w:tr w:rsidR="00797E09" w:rsidRPr="000019B4" w:rsidTr="00797E09">
        <w:trPr>
          <w:trHeight w:val="9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 w:rsidRPr="000019B4">
              <w:rPr>
                <w:rFonts w:eastAsia="Arial"/>
                <w:b/>
                <w:sz w:val="22"/>
                <w:szCs w:val="22"/>
              </w:rPr>
              <w:lastRenderedPageBreak/>
              <w:t>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145143234,95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52498705,89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37101220,03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E09" w:rsidRPr="000019B4" w:rsidRDefault="00797E09" w:rsidP="00797E09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0019B4">
              <w:rPr>
                <w:rFonts w:eastAsia="Arial"/>
                <w:b/>
                <w:bCs/>
                <w:sz w:val="22"/>
                <w:szCs w:val="22"/>
              </w:rPr>
              <w:t>160540720,81</w:t>
            </w:r>
          </w:p>
        </w:tc>
      </w:tr>
    </w:tbl>
    <w:p w:rsidR="00260E8E" w:rsidRPr="000019B4" w:rsidRDefault="00260E8E"/>
    <w:p w:rsidR="00260E8E" w:rsidRPr="000019B4" w:rsidRDefault="00260E8E">
      <w:pPr>
        <w:ind w:left="12"/>
        <w:jc w:val="center"/>
        <w:rPr>
          <w:b/>
          <w:sz w:val="28"/>
          <w:szCs w:val="28"/>
        </w:rPr>
      </w:pPr>
    </w:p>
    <w:p w:rsidR="00260E8E" w:rsidRPr="000019B4" w:rsidRDefault="00260E8E">
      <w:pPr>
        <w:jc w:val="both"/>
      </w:pPr>
    </w:p>
    <w:p w:rsidR="000E2197" w:rsidRPr="000019B4" w:rsidRDefault="000E2197" w:rsidP="000E2197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Рівень відшкодування  діючими  тарифами на теплову енергію та тарифами на послуги з централізованого опалення та централізованого постачання гарячої води за категоріями споживачів фактичних витрат підприємства за 2019 рік</w:t>
      </w:r>
    </w:p>
    <w:p w:rsidR="000E2197" w:rsidRPr="000019B4" w:rsidRDefault="000E2197" w:rsidP="000E2197">
      <w:pPr>
        <w:jc w:val="center"/>
        <w:rPr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694"/>
        <w:gridCol w:w="2409"/>
        <w:gridCol w:w="2268"/>
      </w:tblGrid>
      <w:tr w:rsidR="000019B4" w:rsidRPr="000019B4" w:rsidTr="006A007B">
        <w:trPr>
          <w:trHeight w:val="980"/>
        </w:trPr>
        <w:tc>
          <w:tcPr>
            <w:tcW w:w="1701" w:type="dxa"/>
          </w:tcPr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Фактична собівартість теплової енергії, </w:t>
            </w: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грн.</w:t>
            </w:r>
          </w:p>
        </w:tc>
        <w:tc>
          <w:tcPr>
            <w:tcW w:w="2694" w:type="dxa"/>
          </w:tcPr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Розрахунковий тариф на теплову енергію (враховуючи фактичні нарахування згідно із затвердженими тарифами)</w:t>
            </w: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 з ПДВ, грн./</w:t>
            </w:r>
            <w:proofErr w:type="spellStart"/>
            <w:r w:rsidRPr="000019B4">
              <w:rPr>
                <w:sz w:val="26"/>
                <w:szCs w:val="26"/>
              </w:rPr>
              <w:t>Гкал</w:t>
            </w:r>
            <w:proofErr w:type="spellEnd"/>
          </w:p>
        </w:tc>
        <w:tc>
          <w:tcPr>
            <w:tcW w:w="2409" w:type="dxa"/>
          </w:tcPr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Фактична вартість теплової енергії з ПДВ,</w:t>
            </w: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 грн./</w:t>
            </w:r>
            <w:proofErr w:type="spellStart"/>
            <w:r w:rsidRPr="000019B4">
              <w:rPr>
                <w:sz w:val="26"/>
                <w:szCs w:val="26"/>
              </w:rPr>
              <w:t>Гкал</w:t>
            </w:r>
            <w:proofErr w:type="spellEnd"/>
          </w:p>
        </w:tc>
        <w:tc>
          <w:tcPr>
            <w:tcW w:w="2268" w:type="dxa"/>
          </w:tcPr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Рівень відшкодування, </w:t>
            </w: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</w:p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%</w:t>
            </w:r>
          </w:p>
        </w:tc>
      </w:tr>
      <w:tr w:rsidR="000019B4" w:rsidRPr="000019B4" w:rsidTr="006A007B">
        <w:trPr>
          <w:trHeight w:val="460"/>
        </w:trPr>
        <w:tc>
          <w:tcPr>
            <w:tcW w:w="9072" w:type="dxa"/>
            <w:gridSpan w:val="4"/>
            <w:vAlign w:val="bottom"/>
          </w:tcPr>
          <w:p w:rsidR="000E2197" w:rsidRPr="000019B4" w:rsidRDefault="000E2197" w:rsidP="006A007B">
            <w:pPr>
              <w:jc w:val="center"/>
              <w:rPr>
                <w:sz w:val="26"/>
                <w:szCs w:val="26"/>
              </w:rPr>
            </w:pPr>
            <w:r w:rsidRPr="000019B4">
              <w:rPr>
                <w:b/>
                <w:sz w:val="28"/>
                <w:szCs w:val="28"/>
                <w:u w:val="single"/>
              </w:rPr>
              <w:t>Населення</w:t>
            </w:r>
          </w:p>
        </w:tc>
      </w:tr>
      <w:tr w:rsidR="000019B4" w:rsidRPr="000019B4" w:rsidTr="006A007B">
        <w:trPr>
          <w:trHeight w:val="300"/>
        </w:trPr>
        <w:tc>
          <w:tcPr>
            <w:tcW w:w="1701" w:type="dxa"/>
            <w:vAlign w:val="center"/>
          </w:tcPr>
          <w:p w:rsidR="000E2197" w:rsidRPr="000019B4" w:rsidRDefault="000E2197" w:rsidP="006A007B">
            <w:pPr>
              <w:jc w:val="center"/>
              <w:rPr>
                <w:sz w:val="22"/>
                <w:szCs w:val="22"/>
              </w:rPr>
            </w:pPr>
            <w:r w:rsidRPr="000019B4">
              <w:rPr>
                <w:sz w:val="22"/>
                <w:szCs w:val="22"/>
              </w:rPr>
              <w:t>256 341 648,86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1 504,80</w:t>
            </w:r>
          </w:p>
        </w:tc>
        <w:tc>
          <w:tcPr>
            <w:tcW w:w="2409" w:type="dxa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1 894,05</w:t>
            </w:r>
          </w:p>
        </w:tc>
        <w:tc>
          <w:tcPr>
            <w:tcW w:w="2268" w:type="dxa"/>
            <w:vAlign w:val="center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79,4 %</w:t>
            </w:r>
          </w:p>
        </w:tc>
      </w:tr>
      <w:tr w:rsidR="000019B4" w:rsidRPr="000019B4" w:rsidTr="006A007B">
        <w:trPr>
          <w:trHeight w:val="340"/>
        </w:trPr>
        <w:tc>
          <w:tcPr>
            <w:tcW w:w="9072" w:type="dxa"/>
            <w:gridSpan w:val="4"/>
            <w:vAlign w:val="bottom"/>
          </w:tcPr>
          <w:p w:rsidR="000E2197" w:rsidRPr="000019B4" w:rsidRDefault="000E2197" w:rsidP="006A007B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b/>
                <w:sz w:val="28"/>
                <w:szCs w:val="28"/>
                <w:u w:val="single"/>
              </w:rPr>
              <w:t xml:space="preserve">Бюджетні установи, інші споживачі </w:t>
            </w:r>
          </w:p>
        </w:tc>
      </w:tr>
      <w:tr w:rsidR="000019B4" w:rsidRPr="000019B4" w:rsidTr="006A007B">
        <w:trPr>
          <w:trHeight w:val="340"/>
        </w:trPr>
        <w:tc>
          <w:tcPr>
            <w:tcW w:w="9072" w:type="dxa"/>
            <w:gridSpan w:val="4"/>
            <w:vAlign w:val="bottom"/>
          </w:tcPr>
          <w:p w:rsidR="000E2197" w:rsidRPr="000019B4" w:rsidRDefault="000E2197" w:rsidP="006A007B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E2197" w:rsidRPr="000019B4" w:rsidTr="006A007B">
        <w:trPr>
          <w:trHeight w:val="320"/>
        </w:trPr>
        <w:tc>
          <w:tcPr>
            <w:tcW w:w="1701" w:type="dxa"/>
            <w:vAlign w:val="center"/>
          </w:tcPr>
          <w:p w:rsidR="000E2197" w:rsidRPr="000019B4" w:rsidRDefault="000E2197" w:rsidP="006A007B">
            <w:pPr>
              <w:jc w:val="center"/>
            </w:pPr>
            <w:r w:rsidRPr="000019B4">
              <w:t>79 413 898,47</w:t>
            </w:r>
          </w:p>
        </w:tc>
        <w:tc>
          <w:tcPr>
            <w:tcW w:w="2694" w:type="dxa"/>
            <w:vAlign w:val="center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1 546,65</w:t>
            </w:r>
          </w:p>
        </w:tc>
        <w:tc>
          <w:tcPr>
            <w:tcW w:w="2409" w:type="dxa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1 936,10</w:t>
            </w:r>
          </w:p>
        </w:tc>
        <w:tc>
          <w:tcPr>
            <w:tcW w:w="2268" w:type="dxa"/>
            <w:vAlign w:val="center"/>
          </w:tcPr>
          <w:p w:rsidR="000E2197" w:rsidRPr="000019B4" w:rsidRDefault="000E2197" w:rsidP="006A007B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79,9 %</w:t>
            </w:r>
          </w:p>
        </w:tc>
      </w:tr>
    </w:tbl>
    <w:p w:rsidR="00260E8E" w:rsidRPr="000019B4" w:rsidRDefault="00260E8E">
      <w:pPr>
        <w:jc w:val="both"/>
      </w:pPr>
    </w:p>
    <w:p w:rsidR="000E2197" w:rsidRPr="000019B4" w:rsidRDefault="000E2197">
      <w:pPr>
        <w:jc w:val="both"/>
      </w:pPr>
    </w:p>
    <w:p w:rsidR="000E2197" w:rsidRPr="000019B4" w:rsidRDefault="000E2197">
      <w:pPr>
        <w:jc w:val="both"/>
      </w:pPr>
    </w:p>
    <w:p w:rsidR="00B04EDB" w:rsidRPr="000019B4" w:rsidRDefault="00B04EDB" w:rsidP="00B04EDB">
      <w:pPr>
        <w:ind w:firstLine="709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Тарифна політика у 2019 році.</w:t>
      </w: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ЦІНА – тариф на теплову енергію, який встановлюється державним регулятором. </w:t>
      </w:r>
    </w:p>
    <w:p w:rsidR="00847C15" w:rsidRPr="000019B4" w:rsidRDefault="00B04EDB" w:rsidP="00B04EDB">
      <w:pPr>
        <w:ind w:firstLine="70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>ДМП «Івано-</w:t>
      </w:r>
      <w:proofErr w:type="spellStart"/>
      <w:r w:rsidRPr="000019B4">
        <w:rPr>
          <w:sz w:val="28"/>
          <w:szCs w:val="28"/>
        </w:rPr>
        <w:t>Франківськтеплокомуненерго</w:t>
      </w:r>
      <w:proofErr w:type="spellEnd"/>
      <w:r w:rsidRPr="000019B4">
        <w:rPr>
          <w:sz w:val="28"/>
          <w:szCs w:val="28"/>
        </w:rPr>
        <w:t xml:space="preserve">» є ліцензіатом Національної комісії, що здійснює державне регулювання у сферах енергетики та комунальних послуг (НКРЕКП), тарифи на теплову енергію, її виробництво, транспортування, постачання, послуги з постачання теплової енергії, гарячої води для потреб усіх категорій споживачів встановлюються НКРЕКП. </w:t>
      </w: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Підприємство використовує у розрахунках із споживачами </w:t>
      </w:r>
      <w:proofErr w:type="spellStart"/>
      <w:r w:rsidRPr="000019B4">
        <w:rPr>
          <w:sz w:val="28"/>
          <w:szCs w:val="28"/>
        </w:rPr>
        <w:t>двоставкові</w:t>
      </w:r>
      <w:proofErr w:type="spellEnd"/>
      <w:r w:rsidRPr="000019B4">
        <w:rPr>
          <w:sz w:val="28"/>
          <w:szCs w:val="28"/>
        </w:rPr>
        <w:t xml:space="preserve"> тарифи на теплову енергію та </w:t>
      </w:r>
      <w:proofErr w:type="spellStart"/>
      <w:r w:rsidRPr="000019B4">
        <w:rPr>
          <w:sz w:val="28"/>
          <w:szCs w:val="28"/>
        </w:rPr>
        <w:t>одноставкові</w:t>
      </w:r>
      <w:proofErr w:type="spellEnd"/>
      <w:r w:rsidRPr="000019B4">
        <w:rPr>
          <w:sz w:val="28"/>
          <w:szCs w:val="28"/>
        </w:rPr>
        <w:t xml:space="preserve"> на гарячу воду. Це забезпечує рівномірне відшкодування постійних витрат підприємства упродовж року, наявність фінансових ресурсів на підприємстві під час </w:t>
      </w:r>
      <w:proofErr w:type="spellStart"/>
      <w:r w:rsidRPr="000019B4">
        <w:rPr>
          <w:sz w:val="28"/>
          <w:szCs w:val="28"/>
        </w:rPr>
        <w:t>міжопалювального</w:t>
      </w:r>
      <w:proofErr w:type="spellEnd"/>
      <w:r w:rsidRPr="000019B4">
        <w:rPr>
          <w:sz w:val="28"/>
          <w:szCs w:val="28"/>
        </w:rPr>
        <w:t xml:space="preserve"> сезону та розподіл фінансового навантаження для споживачів при сплаті за комунальні послуги у співвідношення 70% - зимовий період – 30% - літній.</w:t>
      </w:r>
    </w:p>
    <w:p w:rsidR="00B04EDB" w:rsidRPr="000019B4" w:rsidRDefault="00B04EDB" w:rsidP="00B04EDB">
      <w:pPr>
        <w:ind w:left="360"/>
        <w:jc w:val="center"/>
        <w:rPr>
          <w:sz w:val="28"/>
          <w:szCs w:val="28"/>
        </w:rPr>
      </w:pP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  <w:r w:rsidRPr="000019B4">
        <w:rPr>
          <w:sz w:val="28"/>
          <w:szCs w:val="28"/>
        </w:rPr>
        <w:t xml:space="preserve">Діючі тарифи для населення встановлені відповідно до постанов Національної комісії, що здійснює державне регулювання у сферах енергетики та комунальних послуг №1743 від 10.12.2018р. «Про встановлення тарифів на </w:t>
      </w:r>
      <w:r w:rsidRPr="000019B4">
        <w:rPr>
          <w:sz w:val="28"/>
          <w:szCs w:val="28"/>
        </w:rPr>
        <w:lastRenderedPageBreak/>
        <w:t>послуги з централізованого опалення та централізованого постачання гарячої води, що надаються населенню ДМП «Івано-</w:t>
      </w:r>
      <w:proofErr w:type="spellStart"/>
      <w:r w:rsidRPr="000019B4">
        <w:rPr>
          <w:sz w:val="28"/>
          <w:szCs w:val="28"/>
        </w:rPr>
        <w:t>Франківськтеплокомуненерго</w:t>
      </w:r>
      <w:proofErr w:type="spellEnd"/>
      <w:r w:rsidRPr="000019B4">
        <w:rPr>
          <w:sz w:val="28"/>
          <w:szCs w:val="28"/>
        </w:rPr>
        <w:t>», яке є виконавцем цих послуг»</w:t>
      </w: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</w:p>
    <w:p w:rsidR="00B04EDB" w:rsidRPr="000019B4" w:rsidRDefault="00B04EDB" w:rsidP="00B04EDB">
      <w:pPr>
        <w:ind w:firstLine="709"/>
        <w:jc w:val="both"/>
        <w:rPr>
          <w:sz w:val="28"/>
          <w:szCs w:val="28"/>
        </w:rPr>
      </w:pPr>
    </w:p>
    <w:p w:rsidR="00B108B0" w:rsidRPr="000019B4" w:rsidRDefault="00B108B0" w:rsidP="00B108B0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 xml:space="preserve">Тарифи для населення на абонентському обслуговуванні, діючі у 2019 р. </w:t>
      </w:r>
    </w:p>
    <w:p w:rsidR="00B108B0" w:rsidRPr="000019B4" w:rsidRDefault="00B108B0" w:rsidP="00B108B0">
      <w:pPr>
        <w:jc w:val="both"/>
        <w:rPr>
          <w:sz w:val="28"/>
          <w:szCs w:val="28"/>
        </w:rPr>
      </w:pPr>
      <w:r w:rsidRPr="000019B4">
        <w:rPr>
          <w:b/>
          <w:sz w:val="28"/>
          <w:szCs w:val="28"/>
        </w:rPr>
        <w:t xml:space="preserve">                          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2768"/>
        <w:gridCol w:w="1901"/>
        <w:gridCol w:w="3827"/>
      </w:tblGrid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</w:p>
          <w:p w:rsidR="00B108B0" w:rsidRPr="000019B4" w:rsidRDefault="00B108B0" w:rsidP="00E448F4">
            <w:pPr>
              <w:jc w:val="both"/>
            </w:pP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1901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Одиниця виміру</w:t>
            </w:r>
          </w:p>
        </w:tc>
        <w:tc>
          <w:tcPr>
            <w:tcW w:w="3827" w:type="dxa"/>
            <w:vAlign w:val="center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ТАРИФИ з ПДВ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з  01.01.2019</w:t>
            </w:r>
          </w:p>
          <w:p w:rsidR="00B108B0" w:rsidRPr="000019B4" w:rsidRDefault="00B108B0" w:rsidP="00E448F4">
            <w:pPr>
              <w:jc w:val="center"/>
            </w:pP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center"/>
            </w:pPr>
            <w:r w:rsidRPr="000019B4">
              <w:t>1</w:t>
            </w: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center"/>
            </w:pPr>
            <w:r w:rsidRPr="000019B4">
              <w:t>2</w:t>
            </w:r>
          </w:p>
        </w:tc>
        <w:tc>
          <w:tcPr>
            <w:tcW w:w="1901" w:type="dxa"/>
          </w:tcPr>
          <w:p w:rsidR="00B108B0" w:rsidRPr="000019B4" w:rsidRDefault="00B108B0" w:rsidP="00E448F4">
            <w:pPr>
              <w:jc w:val="center"/>
            </w:pPr>
            <w:r w:rsidRPr="000019B4">
              <w:t>3</w:t>
            </w:r>
          </w:p>
        </w:tc>
        <w:tc>
          <w:tcPr>
            <w:tcW w:w="3827" w:type="dxa"/>
          </w:tcPr>
          <w:p w:rsidR="00B108B0" w:rsidRPr="000019B4" w:rsidRDefault="00B108B0" w:rsidP="00E448F4">
            <w:pPr>
              <w:jc w:val="center"/>
            </w:pPr>
            <w:r w:rsidRPr="000019B4">
              <w:t>4</w:t>
            </w:r>
          </w:p>
        </w:tc>
      </w:tr>
      <w:tr w:rsidR="000019B4" w:rsidRPr="000019B4" w:rsidTr="00E448F4">
        <w:tc>
          <w:tcPr>
            <w:tcW w:w="9072" w:type="dxa"/>
            <w:gridSpan w:val="4"/>
          </w:tcPr>
          <w:p w:rsidR="00B108B0" w:rsidRPr="000019B4" w:rsidRDefault="00B108B0" w:rsidP="00E448F4">
            <w:pPr>
              <w:numPr>
                <w:ilvl w:val="0"/>
                <w:numId w:val="3"/>
              </w:numPr>
              <w:jc w:val="both"/>
            </w:pPr>
            <w:proofErr w:type="spellStart"/>
            <w:r w:rsidRPr="000019B4">
              <w:rPr>
                <w:sz w:val="28"/>
                <w:szCs w:val="28"/>
              </w:rPr>
              <w:t>Двоставковий</w:t>
            </w:r>
            <w:proofErr w:type="spellEnd"/>
            <w:r w:rsidRPr="000019B4">
              <w:rPr>
                <w:sz w:val="28"/>
                <w:szCs w:val="28"/>
              </w:rPr>
              <w:t xml:space="preserve"> тариф на послугу з централізованого опалення</w:t>
            </w: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  <w:r w:rsidRPr="000019B4">
              <w:t>1.1.</w:t>
            </w: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умовно-змінна частина тарифу для абонентів житлових будинків з будинковими та квартирними приладами обліку </w:t>
            </w:r>
            <w:proofErr w:type="spellStart"/>
            <w:r w:rsidRPr="000019B4">
              <w:rPr>
                <w:sz w:val="26"/>
                <w:szCs w:val="26"/>
              </w:rPr>
              <w:t>тепл</w:t>
            </w:r>
            <w:proofErr w:type="spellEnd"/>
            <w:r w:rsidRPr="000019B4">
              <w:rPr>
                <w:sz w:val="26"/>
                <w:szCs w:val="26"/>
              </w:rPr>
              <w:t>.  енергії</w:t>
            </w:r>
          </w:p>
        </w:tc>
        <w:tc>
          <w:tcPr>
            <w:tcW w:w="1901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  <w:proofErr w:type="spellStart"/>
            <w:r w:rsidRPr="000019B4">
              <w:t>Гкал</w:t>
            </w:r>
            <w:proofErr w:type="spellEnd"/>
          </w:p>
        </w:tc>
        <w:tc>
          <w:tcPr>
            <w:tcW w:w="3827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1312,11</w:t>
            </w: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умовно-змінна частина тарифу для абонентів житлових будинків без будинкових та квартирних приладів обліку </w:t>
            </w:r>
            <w:proofErr w:type="spellStart"/>
            <w:r w:rsidRPr="000019B4">
              <w:rPr>
                <w:sz w:val="26"/>
                <w:szCs w:val="26"/>
              </w:rPr>
              <w:t>тепл</w:t>
            </w:r>
            <w:proofErr w:type="spellEnd"/>
            <w:r w:rsidRPr="000019B4">
              <w:rPr>
                <w:sz w:val="26"/>
                <w:szCs w:val="26"/>
              </w:rPr>
              <w:t>. енергії</w:t>
            </w:r>
          </w:p>
        </w:tc>
        <w:tc>
          <w:tcPr>
            <w:tcW w:w="1901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грн./1м2</w:t>
            </w:r>
          </w:p>
        </w:tc>
        <w:tc>
          <w:tcPr>
            <w:tcW w:w="3827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32,28</w:t>
            </w: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  <w:r w:rsidRPr="000019B4">
              <w:t>1.2.</w:t>
            </w:r>
          </w:p>
        </w:tc>
        <w:tc>
          <w:tcPr>
            <w:tcW w:w="2768" w:type="dxa"/>
          </w:tcPr>
          <w:p w:rsidR="00B108B0" w:rsidRPr="000019B4" w:rsidRDefault="00B108B0" w:rsidP="00E448F4">
            <w:pPr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умовно – постійна частина тарифу (місячна плата за одиницю приєднаного теплового навантаження)</w:t>
            </w:r>
          </w:p>
        </w:tc>
        <w:tc>
          <w:tcPr>
            <w:tcW w:w="1901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грн./</w:t>
            </w:r>
          </w:p>
          <w:p w:rsidR="00B108B0" w:rsidRPr="000019B4" w:rsidRDefault="00B108B0" w:rsidP="00E448F4">
            <w:pPr>
              <w:jc w:val="center"/>
            </w:pPr>
            <w:proofErr w:type="spellStart"/>
            <w:r w:rsidRPr="000019B4">
              <w:t>гкал</w:t>
            </w:r>
            <w:proofErr w:type="spellEnd"/>
            <w:r w:rsidRPr="000019B4">
              <w:t>/год</w:t>
            </w: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грн./м2</w:t>
            </w:r>
          </w:p>
          <w:p w:rsidR="00B108B0" w:rsidRPr="000019B4" w:rsidRDefault="00B108B0" w:rsidP="00E448F4">
            <w:pPr>
              <w:jc w:val="center"/>
            </w:pPr>
          </w:p>
        </w:tc>
        <w:tc>
          <w:tcPr>
            <w:tcW w:w="3827" w:type="dxa"/>
          </w:tcPr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</w:p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25760,36</w:t>
            </w:r>
          </w:p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</w:p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1,96</w:t>
            </w:r>
          </w:p>
        </w:tc>
      </w:tr>
      <w:tr w:rsidR="000019B4" w:rsidRPr="000019B4" w:rsidTr="00E448F4">
        <w:tc>
          <w:tcPr>
            <w:tcW w:w="9072" w:type="dxa"/>
            <w:gridSpan w:val="4"/>
          </w:tcPr>
          <w:p w:rsidR="00B108B0" w:rsidRPr="000019B4" w:rsidRDefault="00B108B0" w:rsidP="00E448F4">
            <w:pPr>
              <w:jc w:val="both"/>
            </w:pPr>
            <w:r w:rsidRPr="000019B4">
              <w:rPr>
                <w:sz w:val="28"/>
                <w:szCs w:val="28"/>
              </w:rPr>
              <w:t xml:space="preserve">2. </w:t>
            </w:r>
            <w:proofErr w:type="spellStart"/>
            <w:r w:rsidRPr="000019B4">
              <w:rPr>
                <w:sz w:val="28"/>
                <w:szCs w:val="28"/>
              </w:rPr>
              <w:t>Одноставкові</w:t>
            </w:r>
            <w:proofErr w:type="spellEnd"/>
            <w:r w:rsidRPr="000019B4">
              <w:rPr>
                <w:sz w:val="28"/>
                <w:szCs w:val="28"/>
              </w:rPr>
              <w:t xml:space="preserve"> тарифи по послугу з централізованого постачання гарячої води</w:t>
            </w: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за умови підключення </w:t>
            </w:r>
            <w:proofErr w:type="spellStart"/>
            <w:r w:rsidRPr="000019B4">
              <w:rPr>
                <w:sz w:val="26"/>
                <w:szCs w:val="26"/>
              </w:rPr>
              <w:t>рушникосушильників</w:t>
            </w:r>
            <w:proofErr w:type="spellEnd"/>
            <w:r w:rsidRPr="000019B4">
              <w:rPr>
                <w:sz w:val="26"/>
                <w:szCs w:val="26"/>
              </w:rPr>
              <w:t xml:space="preserve"> до систем ГВП</w:t>
            </w:r>
          </w:p>
        </w:tc>
        <w:tc>
          <w:tcPr>
            <w:tcW w:w="1901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грн/1м3</w:t>
            </w:r>
          </w:p>
        </w:tc>
        <w:tc>
          <w:tcPr>
            <w:tcW w:w="3827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82,83</w:t>
            </w:r>
          </w:p>
        </w:tc>
      </w:tr>
      <w:tr w:rsidR="000019B4" w:rsidRPr="000019B4" w:rsidTr="00E448F4">
        <w:tc>
          <w:tcPr>
            <w:tcW w:w="576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2768" w:type="dxa"/>
          </w:tcPr>
          <w:p w:rsidR="00B108B0" w:rsidRPr="000019B4" w:rsidRDefault="00B108B0" w:rsidP="00E448F4">
            <w:pPr>
              <w:jc w:val="both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 xml:space="preserve">за відсутності </w:t>
            </w:r>
            <w:proofErr w:type="spellStart"/>
            <w:r w:rsidRPr="000019B4">
              <w:rPr>
                <w:sz w:val="26"/>
                <w:szCs w:val="26"/>
              </w:rPr>
              <w:t>рушникосушильників</w:t>
            </w:r>
            <w:proofErr w:type="spellEnd"/>
          </w:p>
        </w:tc>
        <w:tc>
          <w:tcPr>
            <w:tcW w:w="1901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грн/1м3</w:t>
            </w:r>
          </w:p>
        </w:tc>
        <w:tc>
          <w:tcPr>
            <w:tcW w:w="3827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8"/>
                <w:szCs w:val="28"/>
              </w:rPr>
            </w:pPr>
            <w:r w:rsidRPr="000019B4">
              <w:rPr>
                <w:sz w:val="28"/>
                <w:szCs w:val="28"/>
              </w:rPr>
              <w:t>76,29</w:t>
            </w:r>
          </w:p>
        </w:tc>
      </w:tr>
    </w:tbl>
    <w:p w:rsidR="00B04EDB" w:rsidRPr="000019B4" w:rsidRDefault="00B04EDB" w:rsidP="00B04EDB">
      <w:pPr>
        <w:ind w:firstLine="709"/>
        <w:jc w:val="both"/>
        <w:rPr>
          <w:b/>
          <w:sz w:val="28"/>
          <w:szCs w:val="28"/>
        </w:rPr>
      </w:pPr>
      <w:r w:rsidRPr="000019B4">
        <w:rPr>
          <w:sz w:val="28"/>
          <w:szCs w:val="28"/>
        </w:rPr>
        <w:t>Діючі тарифи для бюджетних установ та інших споживачів</w:t>
      </w:r>
      <w:r w:rsidR="00F911B0" w:rsidRPr="000019B4">
        <w:rPr>
          <w:sz w:val="28"/>
          <w:szCs w:val="28"/>
        </w:rPr>
        <w:t>, що діяли у 2019 році</w:t>
      </w:r>
      <w:r w:rsidRPr="000019B4">
        <w:rPr>
          <w:sz w:val="28"/>
          <w:szCs w:val="28"/>
        </w:rPr>
        <w:t xml:space="preserve"> встановлені відповідно до постанов Національної комісії, що здійснює державне регулювання у сферах енергетики та комунальних послуг №</w:t>
      </w:r>
      <w:r w:rsidR="00B108B0" w:rsidRPr="000019B4">
        <w:rPr>
          <w:sz w:val="28"/>
          <w:szCs w:val="28"/>
        </w:rPr>
        <w:t>1707</w:t>
      </w:r>
      <w:r w:rsidRPr="000019B4">
        <w:rPr>
          <w:sz w:val="28"/>
          <w:szCs w:val="28"/>
        </w:rPr>
        <w:t xml:space="preserve"> від 1</w:t>
      </w:r>
      <w:r w:rsidR="00F911B0" w:rsidRPr="000019B4">
        <w:rPr>
          <w:sz w:val="28"/>
          <w:szCs w:val="28"/>
        </w:rPr>
        <w:t>0</w:t>
      </w:r>
      <w:r w:rsidRPr="000019B4">
        <w:rPr>
          <w:sz w:val="28"/>
          <w:szCs w:val="28"/>
        </w:rPr>
        <w:t>.</w:t>
      </w:r>
      <w:r w:rsidR="00F911B0" w:rsidRPr="000019B4">
        <w:rPr>
          <w:sz w:val="28"/>
          <w:szCs w:val="28"/>
        </w:rPr>
        <w:t>12</w:t>
      </w:r>
      <w:r w:rsidRPr="000019B4">
        <w:rPr>
          <w:sz w:val="28"/>
          <w:szCs w:val="28"/>
        </w:rPr>
        <w:t>.201</w:t>
      </w:r>
      <w:r w:rsidR="00F911B0" w:rsidRPr="000019B4">
        <w:rPr>
          <w:sz w:val="28"/>
          <w:szCs w:val="28"/>
        </w:rPr>
        <w:t>8</w:t>
      </w:r>
      <w:r w:rsidRPr="000019B4">
        <w:rPr>
          <w:sz w:val="28"/>
          <w:szCs w:val="28"/>
        </w:rPr>
        <w:t>р. «Про встановлення тарифів на теплову енергію, її виробництво, транспортування, постачання</w:t>
      </w:r>
      <w:r w:rsidR="00F911B0" w:rsidRPr="000019B4">
        <w:rPr>
          <w:sz w:val="28"/>
          <w:szCs w:val="28"/>
        </w:rPr>
        <w:t xml:space="preserve"> для потреб бюджетних установ та інших споживачів (крім населення) </w:t>
      </w:r>
      <w:r w:rsidRPr="000019B4">
        <w:rPr>
          <w:sz w:val="28"/>
          <w:szCs w:val="28"/>
        </w:rPr>
        <w:t>Державному міському підприємству «Івано-</w:t>
      </w:r>
      <w:proofErr w:type="spellStart"/>
      <w:r w:rsidRPr="000019B4">
        <w:rPr>
          <w:sz w:val="28"/>
          <w:szCs w:val="28"/>
        </w:rPr>
        <w:t>Франківськтеплокомуненерго</w:t>
      </w:r>
      <w:proofErr w:type="spellEnd"/>
      <w:r w:rsidRPr="000019B4">
        <w:rPr>
          <w:sz w:val="28"/>
          <w:szCs w:val="28"/>
        </w:rPr>
        <w:t>»</w:t>
      </w:r>
      <w:r w:rsidR="00F911B0" w:rsidRPr="000019B4">
        <w:rPr>
          <w:sz w:val="28"/>
          <w:szCs w:val="28"/>
        </w:rPr>
        <w:t xml:space="preserve"> та внесення змін до деяких постанов НКРЕКП.</w:t>
      </w:r>
    </w:p>
    <w:p w:rsidR="00B04EDB" w:rsidRPr="000019B4" w:rsidRDefault="00B04EDB" w:rsidP="00B04EDB">
      <w:pPr>
        <w:jc w:val="center"/>
        <w:rPr>
          <w:b/>
          <w:sz w:val="28"/>
          <w:szCs w:val="28"/>
        </w:rPr>
      </w:pPr>
    </w:p>
    <w:p w:rsidR="00F911B0" w:rsidRPr="000019B4" w:rsidRDefault="00F911B0" w:rsidP="00B04EDB">
      <w:pPr>
        <w:jc w:val="center"/>
        <w:rPr>
          <w:b/>
          <w:sz w:val="28"/>
          <w:szCs w:val="28"/>
        </w:rPr>
      </w:pPr>
    </w:p>
    <w:p w:rsidR="00F911B0" w:rsidRPr="000019B4" w:rsidRDefault="00B108B0" w:rsidP="00B108B0">
      <w:pPr>
        <w:ind w:firstLine="709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 xml:space="preserve">Тарифи для бюджетних установ, діючі у 2019 р.     </w:t>
      </w:r>
    </w:p>
    <w:p w:rsidR="00B108B0" w:rsidRPr="000019B4" w:rsidRDefault="00B108B0" w:rsidP="00B108B0">
      <w:pPr>
        <w:ind w:firstLine="709"/>
        <w:jc w:val="center"/>
        <w:rPr>
          <w:sz w:val="28"/>
          <w:szCs w:val="28"/>
        </w:rPr>
      </w:pPr>
      <w:r w:rsidRPr="000019B4">
        <w:rPr>
          <w:b/>
          <w:sz w:val="28"/>
          <w:szCs w:val="28"/>
        </w:rPr>
        <w:t xml:space="preserve">                      </w:t>
      </w:r>
    </w:p>
    <w:tbl>
      <w:tblPr>
        <w:tblStyle w:val="ad"/>
        <w:tblW w:w="63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993"/>
        <w:gridCol w:w="2552"/>
      </w:tblGrid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</w:p>
          <w:p w:rsidR="00B108B0" w:rsidRPr="000019B4" w:rsidRDefault="00B108B0" w:rsidP="00E448F4">
            <w:pPr>
              <w:jc w:val="both"/>
            </w:pP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993" w:type="dxa"/>
          </w:tcPr>
          <w:p w:rsidR="00B108B0" w:rsidRPr="000019B4" w:rsidRDefault="00B108B0" w:rsidP="00E448F4">
            <w:pPr>
              <w:jc w:val="both"/>
            </w:pPr>
            <w:r w:rsidRPr="000019B4">
              <w:t xml:space="preserve">Од. </w:t>
            </w:r>
            <w:proofErr w:type="spellStart"/>
            <w:r w:rsidRPr="000019B4">
              <w:t>вим</w:t>
            </w:r>
            <w:proofErr w:type="spellEnd"/>
            <w:r w:rsidRPr="000019B4">
              <w:t>.</w:t>
            </w:r>
          </w:p>
        </w:tc>
        <w:tc>
          <w:tcPr>
            <w:tcW w:w="2552" w:type="dxa"/>
          </w:tcPr>
          <w:p w:rsidR="00B108B0" w:rsidRPr="000019B4" w:rsidRDefault="00B108B0" w:rsidP="00E448F4">
            <w:pPr>
              <w:jc w:val="center"/>
            </w:pPr>
            <w:r w:rsidRPr="000019B4">
              <w:t>Тарифи з ПДВ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діючі з   01.01.19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center"/>
            </w:pPr>
            <w:r w:rsidRPr="000019B4">
              <w:t>1</w:t>
            </w: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center"/>
            </w:pPr>
            <w:r w:rsidRPr="000019B4">
              <w:t>2</w:t>
            </w:r>
          </w:p>
        </w:tc>
        <w:tc>
          <w:tcPr>
            <w:tcW w:w="993" w:type="dxa"/>
          </w:tcPr>
          <w:p w:rsidR="00B108B0" w:rsidRPr="000019B4" w:rsidRDefault="00B108B0" w:rsidP="00E448F4">
            <w:pPr>
              <w:jc w:val="center"/>
            </w:pPr>
            <w:r w:rsidRPr="000019B4">
              <w:t>3</w:t>
            </w:r>
          </w:p>
        </w:tc>
        <w:tc>
          <w:tcPr>
            <w:tcW w:w="2552" w:type="dxa"/>
          </w:tcPr>
          <w:p w:rsidR="00B108B0" w:rsidRPr="000019B4" w:rsidRDefault="00B108B0" w:rsidP="00E448F4">
            <w:pPr>
              <w:jc w:val="center"/>
            </w:pPr>
            <w:r w:rsidRPr="000019B4">
              <w:t>7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1.1.</w:t>
            </w:r>
          </w:p>
        </w:tc>
        <w:tc>
          <w:tcPr>
            <w:tcW w:w="2268" w:type="dxa"/>
          </w:tcPr>
          <w:p w:rsidR="00B108B0" w:rsidRPr="000019B4" w:rsidRDefault="00B108B0" w:rsidP="00E448F4">
            <w:r w:rsidRPr="000019B4">
              <w:t xml:space="preserve">умовно – змінна частина </w:t>
            </w:r>
            <w:proofErr w:type="spellStart"/>
            <w:r w:rsidRPr="000019B4">
              <w:t>двоставкового</w:t>
            </w:r>
            <w:proofErr w:type="spellEnd"/>
            <w:r w:rsidRPr="000019B4">
              <w:t xml:space="preserve"> тарифу на теплову енергію</w:t>
            </w:r>
          </w:p>
          <w:p w:rsidR="00B108B0" w:rsidRPr="000019B4" w:rsidRDefault="00B108B0" w:rsidP="00E448F4">
            <w:pPr>
              <w:jc w:val="both"/>
            </w:pPr>
          </w:p>
        </w:tc>
        <w:tc>
          <w:tcPr>
            <w:tcW w:w="993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proofErr w:type="spellStart"/>
            <w:r w:rsidRPr="000019B4">
              <w:t>Гкал</w:t>
            </w:r>
            <w:proofErr w:type="spellEnd"/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1321,50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1.2.</w:t>
            </w:r>
          </w:p>
        </w:tc>
        <w:tc>
          <w:tcPr>
            <w:tcW w:w="2268" w:type="dxa"/>
          </w:tcPr>
          <w:p w:rsidR="00B108B0" w:rsidRPr="000019B4" w:rsidRDefault="00B108B0" w:rsidP="00E448F4">
            <w:r w:rsidRPr="000019B4">
              <w:t xml:space="preserve">умовно – постійна частина </w:t>
            </w:r>
            <w:proofErr w:type="spellStart"/>
            <w:r w:rsidRPr="000019B4">
              <w:t>двоставкового</w:t>
            </w:r>
            <w:proofErr w:type="spellEnd"/>
            <w:r w:rsidRPr="000019B4">
              <w:t xml:space="preserve"> тарифу</w:t>
            </w:r>
          </w:p>
          <w:p w:rsidR="00B108B0" w:rsidRPr="000019B4" w:rsidRDefault="00B108B0" w:rsidP="00E448F4">
            <w:pPr>
              <w:jc w:val="both"/>
            </w:pPr>
            <w:r w:rsidRPr="000019B4">
              <w:t xml:space="preserve">(місячна плата на одиницю </w:t>
            </w:r>
            <w:proofErr w:type="spellStart"/>
            <w:r w:rsidRPr="000019B4">
              <w:t>приєднан</w:t>
            </w:r>
            <w:proofErr w:type="spellEnd"/>
            <w:r w:rsidRPr="000019B4">
              <w:t>. теплового навантаження)</w:t>
            </w:r>
          </w:p>
        </w:tc>
        <w:tc>
          <w:tcPr>
            <w:tcW w:w="993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proofErr w:type="spellStart"/>
            <w:r w:rsidRPr="000019B4">
              <w:t>Гкал</w:t>
            </w:r>
            <w:proofErr w:type="spellEnd"/>
            <w:r w:rsidRPr="000019B4">
              <w:t>/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год</w:t>
            </w:r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24810,60</w:t>
            </w:r>
          </w:p>
        </w:tc>
      </w:tr>
      <w:tr w:rsidR="00B108B0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2.1.</w:t>
            </w: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both"/>
            </w:pPr>
            <w:r w:rsidRPr="000019B4">
              <w:t xml:space="preserve"> тариф на послугу з централізованого постачання гарячої води</w:t>
            </w:r>
          </w:p>
        </w:tc>
        <w:tc>
          <w:tcPr>
            <w:tcW w:w="993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1м3</w:t>
            </w:r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76,12</w:t>
            </w:r>
          </w:p>
        </w:tc>
      </w:tr>
    </w:tbl>
    <w:p w:rsidR="00B108B0" w:rsidRPr="000019B4" w:rsidRDefault="00B108B0" w:rsidP="00B108B0">
      <w:pPr>
        <w:ind w:firstLine="709"/>
        <w:jc w:val="both"/>
      </w:pPr>
    </w:p>
    <w:p w:rsidR="00F911B0" w:rsidRPr="000019B4" w:rsidRDefault="00F911B0" w:rsidP="00B108B0">
      <w:pPr>
        <w:ind w:firstLine="709"/>
        <w:jc w:val="center"/>
        <w:rPr>
          <w:b/>
          <w:sz w:val="28"/>
          <w:szCs w:val="28"/>
        </w:rPr>
      </w:pPr>
    </w:p>
    <w:p w:rsidR="00F911B0" w:rsidRPr="000019B4" w:rsidRDefault="00B108B0" w:rsidP="00B108B0">
      <w:pPr>
        <w:ind w:firstLine="709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Тарифи для інших споживачів, діючі у 2019 р.</w:t>
      </w:r>
    </w:p>
    <w:p w:rsidR="00B108B0" w:rsidRPr="000019B4" w:rsidRDefault="00B108B0" w:rsidP="00B108B0">
      <w:pPr>
        <w:ind w:firstLine="709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 xml:space="preserve">      </w:t>
      </w:r>
    </w:p>
    <w:tbl>
      <w:tblPr>
        <w:tblStyle w:val="ae"/>
        <w:tblW w:w="63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992"/>
        <w:gridCol w:w="2552"/>
      </w:tblGrid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rPr>
                <w:b/>
                <w:sz w:val="28"/>
                <w:szCs w:val="28"/>
              </w:rPr>
              <w:t xml:space="preserve">                     </w:t>
            </w:r>
          </w:p>
          <w:p w:rsidR="00B108B0" w:rsidRPr="000019B4" w:rsidRDefault="00B108B0" w:rsidP="00E448F4">
            <w:pPr>
              <w:jc w:val="both"/>
            </w:pP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both"/>
            </w:pPr>
          </w:p>
        </w:tc>
        <w:tc>
          <w:tcPr>
            <w:tcW w:w="992" w:type="dxa"/>
          </w:tcPr>
          <w:p w:rsidR="00B108B0" w:rsidRPr="000019B4" w:rsidRDefault="00B108B0" w:rsidP="00E448F4">
            <w:pPr>
              <w:jc w:val="both"/>
            </w:pPr>
            <w:r w:rsidRPr="000019B4">
              <w:t xml:space="preserve">Од. </w:t>
            </w:r>
            <w:proofErr w:type="spellStart"/>
            <w:r w:rsidRPr="000019B4">
              <w:t>вим</w:t>
            </w:r>
            <w:proofErr w:type="spellEnd"/>
            <w:r w:rsidRPr="000019B4">
              <w:t>.</w:t>
            </w:r>
          </w:p>
        </w:tc>
        <w:tc>
          <w:tcPr>
            <w:tcW w:w="2552" w:type="dxa"/>
          </w:tcPr>
          <w:p w:rsidR="00B108B0" w:rsidRPr="000019B4" w:rsidRDefault="00B108B0" w:rsidP="00E448F4">
            <w:pPr>
              <w:jc w:val="center"/>
            </w:pPr>
            <w:r w:rsidRPr="000019B4">
              <w:t>Тарифи з ПДВ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діючі з   01.01.19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center"/>
            </w:pPr>
            <w:r w:rsidRPr="000019B4">
              <w:t>1</w:t>
            </w: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center"/>
            </w:pPr>
            <w:r w:rsidRPr="000019B4">
              <w:t>2</w:t>
            </w:r>
          </w:p>
        </w:tc>
        <w:tc>
          <w:tcPr>
            <w:tcW w:w="992" w:type="dxa"/>
          </w:tcPr>
          <w:p w:rsidR="00B108B0" w:rsidRPr="000019B4" w:rsidRDefault="00B108B0" w:rsidP="00E448F4">
            <w:pPr>
              <w:jc w:val="center"/>
            </w:pPr>
            <w:r w:rsidRPr="000019B4">
              <w:t>3</w:t>
            </w:r>
          </w:p>
        </w:tc>
        <w:tc>
          <w:tcPr>
            <w:tcW w:w="2552" w:type="dxa"/>
          </w:tcPr>
          <w:p w:rsidR="00B108B0" w:rsidRPr="000019B4" w:rsidRDefault="00B108B0" w:rsidP="00E448F4">
            <w:pPr>
              <w:jc w:val="center"/>
            </w:pPr>
            <w:r w:rsidRPr="000019B4">
              <w:t>7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1.1.</w:t>
            </w:r>
          </w:p>
        </w:tc>
        <w:tc>
          <w:tcPr>
            <w:tcW w:w="2268" w:type="dxa"/>
          </w:tcPr>
          <w:p w:rsidR="00B108B0" w:rsidRPr="000019B4" w:rsidRDefault="00B108B0" w:rsidP="00E448F4">
            <w:r w:rsidRPr="000019B4">
              <w:t xml:space="preserve">умовно – змінна частина </w:t>
            </w:r>
            <w:proofErr w:type="spellStart"/>
            <w:r w:rsidRPr="000019B4">
              <w:t>двоставкового</w:t>
            </w:r>
            <w:proofErr w:type="spellEnd"/>
            <w:r w:rsidRPr="000019B4">
              <w:t xml:space="preserve"> тарифу на теплову енергію</w:t>
            </w:r>
          </w:p>
          <w:p w:rsidR="00B108B0" w:rsidRPr="000019B4" w:rsidRDefault="00B108B0" w:rsidP="00E448F4">
            <w:pPr>
              <w:jc w:val="both"/>
            </w:pPr>
          </w:p>
        </w:tc>
        <w:tc>
          <w:tcPr>
            <w:tcW w:w="992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proofErr w:type="spellStart"/>
            <w:r w:rsidRPr="000019B4">
              <w:t>Гкал</w:t>
            </w:r>
            <w:proofErr w:type="spellEnd"/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1352,90</w:t>
            </w:r>
          </w:p>
        </w:tc>
      </w:tr>
      <w:tr w:rsidR="000019B4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1.2.</w:t>
            </w:r>
          </w:p>
        </w:tc>
        <w:tc>
          <w:tcPr>
            <w:tcW w:w="2268" w:type="dxa"/>
          </w:tcPr>
          <w:p w:rsidR="00B108B0" w:rsidRPr="000019B4" w:rsidRDefault="00B108B0" w:rsidP="00E448F4">
            <w:r w:rsidRPr="000019B4">
              <w:t xml:space="preserve">умовно – постійна частина </w:t>
            </w:r>
            <w:proofErr w:type="spellStart"/>
            <w:r w:rsidRPr="000019B4">
              <w:t>двоставкового</w:t>
            </w:r>
            <w:proofErr w:type="spellEnd"/>
            <w:r w:rsidRPr="000019B4">
              <w:t xml:space="preserve"> тарифу</w:t>
            </w:r>
          </w:p>
          <w:p w:rsidR="00B108B0" w:rsidRPr="000019B4" w:rsidRDefault="00B108B0" w:rsidP="00E448F4">
            <w:pPr>
              <w:jc w:val="both"/>
            </w:pPr>
            <w:r w:rsidRPr="000019B4">
              <w:t xml:space="preserve">(місячна плата на одиницю </w:t>
            </w:r>
            <w:proofErr w:type="spellStart"/>
            <w:r w:rsidRPr="000019B4">
              <w:t>приєднан</w:t>
            </w:r>
            <w:proofErr w:type="spellEnd"/>
            <w:r w:rsidRPr="000019B4">
              <w:t>. теплового навантаження)</w:t>
            </w:r>
          </w:p>
        </w:tc>
        <w:tc>
          <w:tcPr>
            <w:tcW w:w="992" w:type="dxa"/>
          </w:tcPr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</w:p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proofErr w:type="spellStart"/>
            <w:r w:rsidRPr="000019B4">
              <w:t>Гкал</w:t>
            </w:r>
            <w:proofErr w:type="spellEnd"/>
            <w:r w:rsidRPr="000019B4">
              <w:t>/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год</w:t>
            </w:r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</w:pPr>
            <w:r w:rsidRPr="000019B4">
              <w:t>24810,46</w:t>
            </w:r>
          </w:p>
        </w:tc>
      </w:tr>
      <w:tr w:rsidR="00B108B0" w:rsidRPr="000019B4" w:rsidTr="00F911B0">
        <w:trPr>
          <w:jc w:val="center"/>
        </w:trPr>
        <w:tc>
          <w:tcPr>
            <w:tcW w:w="567" w:type="dxa"/>
          </w:tcPr>
          <w:p w:rsidR="00B108B0" w:rsidRPr="000019B4" w:rsidRDefault="00B108B0" w:rsidP="00E448F4">
            <w:pPr>
              <w:jc w:val="both"/>
            </w:pPr>
            <w:r w:rsidRPr="000019B4">
              <w:t>2.1</w:t>
            </w:r>
          </w:p>
        </w:tc>
        <w:tc>
          <w:tcPr>
            <w:tcW w:w="2268" w:type="dxa"/>
          </w:tcPr>
          <w:p w:rsidR="00B108B0" w:rsidRPr="000019B4" w:rsidRDefault="00B108B0" w:rsidP="00E448F4">
            <w:pPr>
              <w:jc w:val="both"/>
            </w:pPr>
            <w:r w:rsidRPr="000019B4">
              <w:t>тариф на послугу з централізованого постачання гарячої води</w:t>
            </w:r>
          </w:p>
        </w:tc>
        <w:tc>
          <w:tcPr>
            <w:tcW w:w="992" w:type="dxa"/>
          </w:tcPr>
          <w:p w:rsidR="00B108B0" w:rsidRPr="000019B4" w:rsidRDefault="00B108B0" w:rsidP="00E448F4">
            <w:pPr>
              <w:jc w:val="center"/>
            </w:pPr>
            <w:r w:rsidRPr="000019B4">
              <w:t>грн/</w:t>
            </w:r>
          </w:p>
          <w:p w:rsidR="00B108B0" w:rsidRPr="000019B4" w:rsidRDefault="00B108B0" w:rsidP="00E448F4">
            <w:pPr>
              <w:jc w:val="center"/>
            </w:pPr>
            <w:r w:rsidRPr="000019B4">
              <w:t>1м3</w:t>
            </w:r>
          </w:p>
        </w:tc>
        <w:tc>
          <w:tcPr>
            <w:tcW w:w="2552" w:type="dxa"/>
            <w:vAlign w:val="center"/>
          </w:tcPr>
          <w:p w:rsidR="00B108B0" w:rsidRPr="000019B4" w:rsidRDefault="00B108B0" w:rsidP="00E448F4">
            <w:pPr>
              <w:jc w:val="center"/>
              <w:rPr>
                <w:sz w:val="26"/>
                <w:szCs w:val="26"/>
              </w:rPr>
            </w:pPr>
            <w:r w:rsidRPr="000019B4">
              <w:rPr>
                <w:sz w:val="26"/>
                <w:szCs w:val="26"/>
              </w:rPr>
              <w:t>77,65</w:t>
            </w:r>
          </w:p>
        </w:tc>
      </w:tr>
    </w:tbl>
    <w:p w:rsidR="00F911B0" w:rsidRPr="000019B4" w:rsidRDefault="00F911B0">
      <w:pPr>
        <w:jc w:val="center"/>
        <w:rPr>
          <w:b/>
          <w:sz w:val="28"/>
          <w:szCs w:val="28"/>
        </w:rPr>
      </w:pPr>
    </w:p>
    <w:p w:rsidR="00260E8E" w:rsidRPr="000019B4" w:rsidRDefault="00A204E9">
      <w:pPr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Діяльність підприємства у 201</w:t>
      </w:r>
      <w:r w:rsidR="00972905" w:rsidRPr="000019B4">
        <w:rPr>
          <w:b/>
          <w:sz w:val="28"/>
          <w:szCs w:val="28"/>
        </w:rPr>
        <w:t>9</w:t>
      </w:r>
      <w:r w:rsidRPr="000019B4">
        <w:rPr>
          <w:b/>
          <w:sz w:val="28"/>
          <w:szCs w:val="28"/>
        </w:rPr>
        <w:t xml:space="preserve"> році</w:t>
      </w:r>
    </w:p>
    <w:p w:rsidR="00260E8E" w:rsidRPr="000019B4" w:rsidRDefault="00260E8E">
      <w:pPr>
        <w:jc w:val="center"/>
        <w:rPr>
          <w:sz w:val="28"/>
          <w:szCs w:val="28"/>
        </w:rPr>
      </w:pPr>
    </w:p>
    <w:p w:rsidR="00A204E9" w:rsidRPr="000019B4" w:rsidRDefault="00F911B0" w:rsidP="00F911B0">
      <w:pPr>
        <w:ind w:firstLine="720"/>
        <w:jc w:val="both"/>
        <w:rPr>
          <w:sz w:val="28"/>
          <w:szCs w:val="28"/>
        </w:rPr>
      </w:pPr>
      <w:r w:rsidRPr="000019B4">
        <w:rPr>
          <w:sz w:val="28"/>
          <w:szCs w:val="28"/>
        </w:rPr>
        <w:lastRenderedPageBreak/>
        <w:t>П</w:t>
      </w:r>
      <w:r w:rsidR="00A204E9" w:rsidRPr="000019B4">
        <w:rPr>
          <w:sz w:val="28"/>
          <w:szCs w:val="28"/>
        </w:rPr>
        <w:t>ротягом 201</w:t>
      </w:r>
      <w:r w:rsidR="002647D3" w:rsidRPr="000019B4">
        <w:rPr>
          <w:sz w:val="28"/>
          <w:szCs w:val="28"/>
        </w:rPr>
        <w:t>9</w:t>
      </w:r>
      <w:r w:rsidR="00A204E9" w:rsidRPr="000019B4">
        <w:rPr>
          <w:sz w:val="28"/>
          <w:szCs w:val="28"/>
        </w:rPr>
        <w:t xml:space="preserve"> року на підприємстві виконувались роботи по впровадженню заходів спрямованих на реалізацію проекту ЄБРР «Реконструкція та модернізація системи централізованого теплопостачання міста Івано-Франківська», який відповідає Енергетичній стратегії України на період до 2030 року, Стратегічному плану розвитку ДМП «Івано-</w:t>
      </w:r>
      <w:proofErr w:type="spellStart"/>
      <w:r w:rsidR="00A204E9" w:rsidRPr="000019B4">
        <w:rPr>
          <w:sz w:val="28"/>
          <w:szCs w:val="28"/>
        </w:rPr>
        <w:t>Франківськтеплокомуненерго</w:t>
      </w:r>
      <w:proofErr w:type="spellEnd"/>
      <w:r w:rsidR="00A204E9" w:rsidRPr="000019B4">
        <w:rPr>
          <w:sz w:val="28"/>
          <w:szCs w:val="28"/>
        </w:rPr>
        <w:t>» на 2018-2022 роки та Перспективному плану розвитку системи теплозабезпечення м. Івано-Франківська Івано-Франківської області (</w:t>
      </w:r>
      <w:proofErr w:type="spellStart"/>
      <w:r w:rsidR="00A204E9" w:rsidRPr="000019B4">
        <w:rPr>
          <w:sz w:val="28"/>
          <w:szCs w:val="28"/>
        </w:rPr>
        <w:t>енерго</w:t>
      </w:r>
      <w:proofErr w:type="spellEnd"/>
      <w:r w:rsidR="00A204E9" w:rsidRPr="000019B4">
        <w:rPr>
          <w:sz w:val="28"/>
          <w:szCs w:val="28"/>
        </w:rPr>
        <w:t xml:space="preserve">- та </w:t>
      </w:r>
      <w:proofErr w:type="spellStart"/>
      <w:r w:rsidR="00A204E9" w:rsidRPr="000019B4">
        <w:rPr>
          <w:sz w:val="28"/>
          <w:szCs w:val="28"/>
        </w:rPr>
        <w:t>екологоефективна</w:t>
      </w:r>
      <w:proofErr w:type="spellEnd"/>
      <w:r w:rsidR="00A204E9" w:rsidRPr="000019B4">
        <w:rPr>
          <w:sz w:val="28"/>
          <w:szCs w:val="28"/>
        </w:rPr>
        <w:t xml:space="preserve"> схема теплопостачання).</w:t>
      </w:r>
    </w:p>
    <w:p w:rsidR="002647D3" w:rsidRPr="000019B4" w:rsidRDefault="002647D3" w:rsidP="002647D3">
      <w:pPr>
        <w:jc w:val="center"/>
        <w:rPr>
          <w:bCs/>
          <w:sz w:val="28"/>
          <w:szCs w:val="28"/>
        </w:rPr>
      </w:pPr>
    </w:p>
    <w:p w:rsidR="002647D3" w:rsidRPr="009702AA" w:rsidRDefault="002647D3" w:rsidP="002647D3">
      <w:pPr>
        <w:jc w:val="center"/>
        <w:rPr>
          <w:i/>
          <w:iCs/>
          <w:sz w:val="28"/>
          <w:szCs w:val="28"/>
        </w:rPr>
      </w:pPr>
      <w:r w:rsidRPr="009702AA">
        <w:rPr>
          <w:bCs/>
          <w:i/>
          <w:iCs/>
          <w:sz w:val="28"/>
          <w:szCs w:val="28"/>
        </w:rPr>
        <w:t>Стадії виконання проекту:</w:t>
      </w:r>
    </w:p>
    <w:p w:rsidR="002647D3" w:rsidRPr="000019B4" w:rsidRDefault="002647D3" w:rsidP="00A204E9">
      <w:pPr>
        <w:jc w:val="both"/>
        <w:rPr>
          <w:sz w:val="28"/>
          <w:szCs w:val="28"/>
        </w:rPr>
      </w:pP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>1.  «Реконструкції та модернізації котельні на вул. Медичній, 17а» -  Роботи завершені.</w:t>
      </w: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 xml:space="preserve">2. «Реконструкція та модернізація котельні на вул. Військових Ветеранів, 8 а» - Роботи завершені. </w:t>
      </w: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 xml:space="preserve">3. «Встановлення котла на біопаливі  на котельні на вул. Тролейбусна, 40а» - Роботи завершені. </w:t>
      </w: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 xml:space="preserve"> 4. «Реконструкція магістральної теплової мережі по вул. Стуса з підключенням споживачів двох мікрорайонів вул. </w:t>
      </w:r>
      <w:proofErr w:type="spellStart"/>
      <w:r w:rsidRPr="009702AA">
        <w:rPr>
          <w:bCs/>
          <w:sz w:val="28"/>
          <w:szCs w:val="28"/>
        </w:rPr>
        <w:t>Хоткевича</w:t>
      </w:r>
      <w:proofErr w:type="spellEnd"/>
      <w:r w:rsidRPr="009702AA">
        <w:rPr>
          <w:bCs/>
          <w:sz w:val="28"/>
          <w:szCs w:val="28"/>
        </w:rPr>
        <w:t xml:space="preserve"> та </w:t>
      </w:r>
      <w:proofErr w:type="spellStart"/>
      <w:r w:rsidRPr="009702AA">
        <w:rPr>
          <w:bCs/>
          <w:sz w:val="28"/>
          <w:szCs w:val="28"/>
        </w:rPr>
        <w:t>Надвірняньска</w:t>
      </w:r>
      <w:proofErr w:type="spellEnd"/>
      <w:r w:rsidRPr="009702AA">
        <w:rPr>
          <w:bCs/>
          <w:sz w:val="28"/>
          <w:szCs w:val="28"/>
        </w:rPr>
        <w:t>» - Роботи завершені.</w:t>
      </w:r>
    </w:p>
    <w:p w:rsidR="002647D3" w:rsidRPr="009702AA" w:rsidRDefault="002647D3" w:rsidP="002647D3">
      <w:pPr>
        <w:pStyle w:val="Style6"/>
        <w:widowControl/>
        <w:spacing w:line="240" w:lineRule="auto"/>
        <w:rPr>
          <w:bCs/>
          <w:sz w:val="28"/>
          <w:szCs w:val="28"/>
        </w:rPr>
      </w:pPr>
    </w:p>
    <w:p w:rsidR="002647D3" w:rsidRPr="009702AA" w:rsidRDefault="002647D3" w:rsidP="002647D3">
      <w:pPr>
        <w:pStyle w:val="af1"/>
        <w:spacing w:after="0"/>
        <w:jc w:val="both"/>
        <w:rPr>
          <w:bCs/>
          <w:sz w:val="28"/>
          <w:szCs w:val="28"/>
          <w:lang w:val="uk-UA"/>
        </w:rPr>
      </w:pPr>
      <w:r w:rsidRPr="009702AA">
        <w:rPr>
          <w:bCs/>
          <w:sz w:val="28"/>
          <w:szCs w:val="28"/>
          <w:lang w:val="uk-UA"/>
        </w:rPr>
        <w:t xml:space="preserve"> 5</w:t>
      </w:r>
      <w:r w:rsidRPr="009702AA">
        <w:rPr>
          <w:bCs/>
          <w:sz w:val="28"/>
          <w:szCs w:val="28"/>
        </w:rPr>
        <w:t xml:space="preserve">. </w:t>
      </w:r>
      <w:r w:rsidRPr="009702AA">
        <w:rPr>
          <w:bCs/>
          <w:sz w:val="28"/>
          <w:szCs w:val="28"/>
          <w:lang w:val="uk-UA"/>
        </w:rPr>
        <w:t>«Поставка та встановлення індивідуальних теплових пунктів в теплових мікрорайонах «Тролейбусна», «Дорошенка» та «Хоткевича».</w:t>
      </w:r>
    </w:p>
    <w:p w:rsidR="002647D3" w:rsidRPr="009702AA" w:rsidRDefault="002647D3" w:rsidP="002647D3">
      <w:pPr>
        <w:pStyle w:val="Style6"/>
        <w:widowControl/>
        <w:spacing w:line="240" w:lineRule="auto"/>
        <w:rPr>
          <w:rFonts w:cs="Arial"/>
          <w:bCs/>
        </w:rPr>
      </w:pPr>
      <w:r w:rsidRPr="009702AA">
        <w:rPr>
          <w:rFonts w:cs="Arial"/>
          <w:bCs/>
        </w:rPr>
        <w:t>Підготовлено звіт з оцінки тендерних пропозицій другого етапу та надіслано в банк на погодження.</w:t>
      </w:r>
    </w:p>
    <w:p w:rsidR="002647D3" w:rsidRPr="009702AA" w:rsidRDefault="002647D3" w:rsidP="002647D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</w:p>
    <w:p w:rsidR="002647D3" w:rsidRPr="009702AA" w:rsidRDefault="002647D3" w:rsidP="002647D3">
      <w:pPr>
        <w:spacing w:line="276" w:lineRule="auto"/>
        <w:jc w:val="both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 xml:space="preserve"> 6. «Поставка та монтаж теплових мереж в мікрорайонах «Тролейбусна» та «Дорошенка»</w:t>
      </w:r>
    </w:p>
    <w:p w:rsidR="002647D3" w:rsidRPr="009702AA" w:rsidRDefault="002647D3" w:rsidP="002647D3">
      <w:pPr>
        <w:spacing w:line="276" w:lineRule="auto"/>
        <w:jc w:val="both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>Проводиться підготовка тендерної документації.</w:t>
      </w:r>
    </w:p>
    <w:p w:rsidR="002647D3" w:rsidRPr="009702AA" w:rsidRDefault="002647D3" w:rsidP="002647D3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2647D3" w:rsidRPr="009702AA" w:rsidRDefault="002647D3" w:rsidP="002647D3">
      <w:pPr>
        <w:spacing w:line="276" w:lineRule="auto"/>
        <w:jc w:val="both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>7. «</w:t>
      </w:r>
      <w:proofErr w:type="spellStart"/>
      <w:r w:rsidRPr="009702AA">
        <w:rPr>
          <w:bCs/>
          <w:sz w:val="28"/>
          <w:szCs w:val="28"/>
          <w:shd w:val="clear" w:color="auto" w:fill="FFFFFF"/>
        </w:rPr>
        <w:t>Модернізаціякотельні</w:t>
      </w:r>
      <w:proofErr w:type="spellEnd"/>
      <w:r w:rsidRPr="009702AA">
        <w:rPr>
          <w:bCs/>
          <w:sz w:val="28"/>
          <w:szCs w:val="28"/>
          <w:shd w:val="clear" w:color="auto" w:fill="FFFFFF"/>
        </w:rPr>
        <w:t xml:space="preserve"> на вул. Довга 68а з встановленням нового газового котла </w:t>
      </w:r>
      <w:proofErr w:type="spellStart"/>
      <w:r w:rsidRPr="009702AA">
        <w:rPr>
          <w:bCs/>
          <w:sz w:val="28"/>
          <w:szCs w:val="28"/>
          <w:shd w:val="clear" w:color="auto" w:fill="FFFFFF"/>
        </w:rPr>
        <w:t>загальноюпотужністю</w:t>
      </w:r>
      <w:proofErr w:type="spellEnd"/>
      <w:r w:rsidRPr="009702AA">
        <w:rPr>
          <w:bCs/>
          <w:sz w:val="28"/>
          <w:szCs w:val="28"/>
          <w:shd w:val="clear" w:color="auto" w:fill="FFFFFF"/>
        </w:rPr>
        <w:t xml:space="preserve"> 9 </w:t>
      </w:r>
      <w:proofErr w:type="spellStart"/>
      <w:r w:rsidRPr="009702AA">
        <w:rPr>
          <w:bCs/>
          <w:sz w:val="28"/>
          <w:szCs w:val="28"/>
          <w:shd w:val="clear" w:color="auto" w:fill="FFFFFF"/>
        </w:rPr>
        <w:t>МВт</w:t>
      </w:r>
      <w:proofErr w:type="spellEnd"/>
      <w:r w:rsidRPr="009702AA">
        <w:rPr>
          <w:bCs/>
          <w:sz w:val="28"/>
          <w:szCs w:val="28"/>
        </w:rPr>
        <w:t>».</w:t>
      </w:r>
    </w:p>
    <w:p w:rsidR="002647D3" w:rsidRPr="009702AA" w:rsidRDefault="002647D3" w:rsidP="002647D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r w:rsidRPr="009702AA">
        <w:rPr>
          <w:bCs/>
          <w:sz w:val="28"/>
          <w:szCs w:val="28"/>
        </w:rPr>
        <w:t>Роботизавершені</w:t>
      </w:r>
      <w:proofErr w:type="spellEnd"/>
      <w:r w:rsidRPr="009702AA">
        <w:rPr>
          <w:bCs/>
          <w:sz w:val="28"/>
          <w:szCs w:val="28"/>
        </w:rPr>
        <w:t>.</w:t>
      </w:r>
    </w:p>
    <w:p w:rsidR="002647D3" w:rsidRPr="009702AA" w:rsidRDefault="002647D3" w:rsidP="002647D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647D3" w:rsidRPr="009702AA" w:rsidRDefault="002647D3" w:rsidP="002647D3">
      <w:pPr>
        <w:spacing w:line="276" w:lineRule="auto"/>
        <w:jc w:val="both"/>
        <w:rPr>
          <w:bCs/>
          <w:sz w:val="28"/>
          <w:szCs w:val="28"/>
        </w:rPr>
      </w:pPr>
      <w:r w:rsidRPr="009702AA">
        <w:rPr>
          <w:bCs/>
          <w:sz w:val="28"/>
          <w:szCs w:val="28"/>
        </w:rPr>
        <w:t xml:space="preserve"> 8. «Реконструкція та </w:t>
      </w:r>
      <w:proofErr w:type="spellStart"/>
      <w:r w:rsidRPr="009702AA">
        <w:rPr>
          <w:bCs/>
          <w:sz w:val="28"/>
          <w:szCs w:val="28"/>
        </w:rPr>
        <w:t>модернізаціякотельні</w:t>
      </w:r>
      <w:proofErr w:type="spellEnd"/>
      <w:r w:rsidRPr="009702AA">
        <w:rPr>
          <w:bCs/>
          <w:sz w:val="28"/>
          <w:szCs w:val="28"/>
        </w:rPr>
        <w:t xml:space="preserve"> на вул. Дорошенка, 28а, </w:t>
      </w:r>
      <w:proofErr w:type="spellStart"/>
      <w:r w:rsidRPr="009702AA">
        <w:rPr>
          <w:bCs/>
          <w:sz w:val="28"/>
          <w:szCs w:val="28"/>
        </w:rPr>
        <w:t>ізвстановленням</w:t>
      </w:r>
      <w:proofErr w:type="spellEnd"/>
      <w:r w:rsidRPr="009702AA">
        <w:rPr>
          <w:bCs/>
          <w:sz w:val="28"/>
          <w:szCs w:val="28"/>
        </w:rPr>
        <w:t xml:space="preserve"> газового котла потужністю 12 МВт»</w:t>
      </w:r>
    </w:p>
    <w:p w:rsidR="002647D3" w:rsidRPr="009702AA" w:rsidRDefault="002647D3" w:rsidP="002647D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702AA">
        <w:rPr>
          <w:rFonts w:eastAsia="Calibri"/>
          <w:bCs/>
          <w:sz w:val="28"/>
          <w:szCs w:val="28"/>
        </w:rPr>
        <w:t xml:space="preserve">21.02.20р. </w:t>
      </w:r>
      <w:proofErr w:type="spellStart"/>
      <w:r w:rsidRPr="009702AA">
        <w:rPr>
          <w:rFonts w:eastAsia="Calibri"/>
          <w:bCs/>
          <w:sz w:val="28"/>
          <w:szCs w:val="28"/>
        </w:rPr>
        <w:t>оголошенозапрошення</w:t>
      </w:r>
      <w:proofErr w:type="spellEnd"/>
      <w:r w:rsidRPr="009702AA">
        <w:rPr>
          <w:rFonts w:eastAsia="Calibri"/>
          <w:bCs/>
          <w:sz w:val="28"/>
          <w:szCs w:val="28"/>
        </w:rPr>
        <w:t xml:space="preserve"> до участі в торгах.</w:t>
      </w:r>
    </w:p>
    <w:p w:rsidR="00260E8E" w:rsidRPr="009702AA" w:rsidRDefault="00260E8E">
      <w:pPr>
        <w:jc w:val="both"/>
        <w:rPr>
          <w:bCs/>
          <w:sz w:val="28"/>
          <w:szCs w:val="28"/>
        </w:rPr>
      </w:pPr>
    </w:p>
    <w:p w:rsidR="00972905" w:rsidRPr="009702AA" w:rsidRDefault="00972905" w:rsidP="006C344B">
      <w:pPr>
        <w:ind w:left="360"/>
        <w:jc w:val="center"/>
        <w:rPr>
          <w:bCs/>
          <w:sz w:val="28"/>
          <w:szCs w:val="28"/>
        </w:rPr>
      </w:pPr>
    </w:p>
    <w:p w:rsidR="00972905" w:rsidRPr="009702AA" w:rsidRDefault="00972905" w:rsidP="006C344B">
      <w:pPr>
        <w:ind w:left="360"/>
        <w:jc w:val="center"/>
        <w:rPr>
          <w:bCs/>
          <w:sz w:val="28"/>
          <w:szCs w:val="28"/>
        </w:rPr>
      </w:pPr>
    </w:p>
    <w:p w:rsidR="006C344B" w:rsidRPr="000019B4" w:rsidRDefault="006C344B" w:rsidP="006C344B">
      <w:pPr>
        <w:ind w:left="360"/>
        <w:jc w:val="center"/>
        <w:rPr>
          <w:b/>
          <w:sz w:val="28"/>
          <w:szCs w:val="28"/>
        </w:rPr>
      </w:pPr>
      <w:r w:rsidRPr="000019B4">
        <w:rPr>
          <w:b/>
          <w:sz w:val="28"/>
          <w:szCs w:val="28"/>
        </w:rPr>
        <w:t>Ремонтні роботи та відновлення благоустрою.</w:t>
      </w:r>
    </w:p>
    <w:p w:rsidR="006C344B" w:rsidRPr="000019B4" w:rsidRDefault="006C344B" w:rsidP="006C344B">
      <w:pPr>
        <w:ind w:left="360"/>
        <w:jc w:val="center"/>
        <w:rPr>
          <w:b/>
          <w:sz w:val="28"/>
          <w:szCs w:val="28"/>
        </w:rPr>
      </w:pP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lastRenderedPageBreak/>
        <w:t>Протягом 201</w:t>
      </w:r>
      <w:r w:rsidRPr="000019B4">
        <w:rPr>
          <w:sz w:val="28"/>
          <w:szCs w:val="28"/>
          <w:lang w:val="ru-RU"/>
        </w:rPr>
        <w:t>9</w:t>
      </w:r>
      <w:r w:rsidRPr="000019B4">
        <w:rPr>
          <w:sz w:val="28"/>
          <w:szCs w:val="28"/>
        </w:rPr>
        <w:t xml:space="preserve"> року було відкрито </w:t>
      </w:r>
      <w:r w:rsidRPr="000019B4">
        <w:rPr>
          <w:sz w:val="28"/>
          <w:szCs w:val="28"/>
          <w:lang w:val="ru-RU"/>
        </w:rPr>
        <w:t>97</w:t>
      </w:r>
      <w:r w:rsidRPr="000019B4">
        <w:rPr>
          <w:b/>
          <w:bCs/>
          <w:sz w:val="28"/>
          <w:szCs w:val="28"/>
        </w:rPr>
        <w:t xml:space="preserve"> </w:t>
      </w:r>
      <w:r w:rsidRPr="009702AA">
        <w:rPr>
          <w:sz w:val="28"/>
          <w:szCs w:val="28"/>
        </w:rPr>
        <w:t>ордерів (дозволів</w:t>
      </w:r>
      <w:r w:rsidRPr="000019B4">
        <w:rPr>
          <w:sz w:val="28"/>
          <w:szCs w:val="28"/>
        </w:rPr>
        <w:t xml:space="preserve">) на порушення об’єктів благоустрою пов’язаних з виконанням земельних та ремонтних робіт на території міста Івано-Франківська, з них: </w:t>
      </w: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t>планові – 6 шт.;</w:t>
      </w: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t>аварійні – 91 шт.</w:t>
      </w: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t>Станом на 01.01.2020 року незакритими залишаються 9 ордерів з них:</w:t>
      </w: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t>планові – 4 шт.;</w:t>
      </w:r>
    </w:p>
    <w:p w:rsidR="006C344B" w:rsidRPr="000019B4" w:rsidRDefault="006C344B" w:rsidP="006C344B">
      <w:pPr>
        <w:rPr>
          <w:sz w:val="28"/>
          <w:szCs w:val="28"/>
        </w:rPr>
      </w:pPr>
      <w:r w:rsidRPr="000019B4">
        <w:rPr>
          <w:sz w:val="28"/>
          <w:szCs w:val="28"/>
        </w:rPr>
        <w:t>аварійні – 5 шт.</w:t>
      </w:r>
    </w:p>
    <w:p w:rsidR="00B511C2" w:rsidRPr="000019B4" w:rsidRDefault="00B511C2" w:rsidP="00B511C2">
      <w:pPr>
        <w:rPr>
          <w:sz w:val="28"/>
          <w:szCs w:val="28"/>
        </w:rPr>
      </w:pPr>
    </w:p>
    <w:p w:rsidR="00B511C2" w:rsidRPr="000019B4" w:rsidRDefault="00B511C2" w:rsidP="00B511C2">
      <w:pPr>
        <w:rPr>
          <w:sz w:val="28"/>
          <w:szCs w:val="28"/>
        </w:rPr>
      </w:pPr>
      <w:r w:rsidRPr="000019B4">
        <w:rPr>
          <w:sz w:val="28"/>
          <w:szCs w:val="28"/>
        </w:rPr>
        <w:t>Протягом 2019р. аварійно-диспетчерська служба підприємства отримала 4 003 звернення споживачів.</w:t>
      </w:r>
    </w:p>
    <w:p w:rsidR="00A204E9" w:rsidRPr="000019B4" w:rsidRDefault="00A204E9" w:rsidP="00A204E9">
      <w:pPr>
        <w:rPr>
          <w:sz w:val="28"/>
          <w:szCs w:val="28"/>
          <w:lang w:val="en-US"/>
        </w:rPr>
      </w:pPr>
    </w:p>
    <w:p w:rsidR="008D69F5" w:rsidRPr="000019B4" w:rsidRDefault="008D69F5" w:rsidP="00A204E9">
      <w:pPr>
        <w:rPr>
          <w:sz w:val="28"/>
          <w:szCs w:val="28"/>
          <w:lang w:val="en-US"/>
        </w:rPr>
      </w:pPr>
    </w:p>
    <w:p w:rsidR="008D69F5" w:rsidRPr="000019B4" w:rsidRDefault="008D69F5" w:rsidP="00A204E9">
      <w:pPr>
        <w:rPr>
          <w:sz w:val="28"/>
          <w:szCs w:val="28"/>
          <w:lang w:val="en-US"/>
        </w:rPr>
      </w:pPr>
    </w:p>
    <w:p w:rsidR="008D69F5" w:rsidRPr="000019B4" w:rsidRDefault="008D69F5" w:rsidP="00A204E9">
      <w:pPr>
        <w:rPr>
          <w:sz w:val="28"/>
          <w:szCs w:val="28"/>
          <w:lang w:val="en-US"/>
        </w:rPr>
      </w:pPr>
    </w:p>
    <w:p w:rsidR="00F10372" w:rsidRPr="000019B4" w:rsidRDefault="00F10372" w:rsidP="00F10372">
      <w:pPr>
        <w:jc w:val="center"/>
        <w:rPr>
          <w:sz w:val="28"/>
          <w:szCs w:val="28"/>
        </w:rPr>
      </w:pPr>
      <w:r w:rsidRPr="000019B4">
        <w:rPr>
          <w:sz w:val="28"/>
          <w:szCs w:val="28"/>
        </w:rPr>
        <w:t xml:space="preserve">Директор ДМП «ІФТКЕ»                                                 </w:t>
      </w:r>
      <w:r w:rsidR="008D69F5" w:rsidRPr="000019B4">
        <w:rPr>
          <w:sz w:val="28"/>
          <w:szCs w:val="28"/>
        </w:rPr>
        <w:t>Герасименко Є.В.</w:t>
      </w:r>
    </w:p>
    <w:sectPr w:rsidR="00F10372" w:rsidRPr="000019B4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77390"/>
    <w:multiLevelType w:val="hybridMultilevel"/>
    <w:tmpl w:val="7B32ACDE"/>
    <w:lvl w:ilvl="0" w:tplc="36967AB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C10D08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516CA9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87CB3E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728B31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2F62DE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80A00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AB8E6C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1A8D6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197726DE"/>
    <w:multiLevelType w:val="hybridMultilevel"/>
    <w:tmpl w:val="BF2A31E8"/>
    <w:lvl w:ilvl="0" w:tplc="DD1ACF8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8DC1E0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4D17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9969EE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4F5E1BC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FBA26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156FDA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D38646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D2E4F4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4D700E1D"/>
    <w:multiLevelType w:val="multilevel"/>
    <w:tmpl w:val="1BEEEF9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500F1B26"/>
    <w:multiLevelType w:val="hybridMultilevel"/>
    <w:tmpl w:val="70C48B02"/>
    <w:lvl w:ilvl="0" w:tplc="6978961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D945A3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C50414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454A58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18890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E7E01A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E88C1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FD8FE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E2E4CF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59D6284F"/>
    <w:multiLevelType w:val="hybridMultilevel"/>
    <w:tmpl w:val="36F6E3D2"/>
    <w:lvl w:ilvl="0" w:tplc="99447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6630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D89C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880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AB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CE76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72B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00B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F4D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EC6F48"/>
    <w:multiLevelType w:val="hybridMultilevel"/>
    <w:tmpl w:val="0498B3DE"/>
    <w:lvl w:ilvl="0" w:tplc="95A0826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55ED8"/>
    <w:multiLevelType w:val="multilevel"/>
    <w:tmpl w:val="9B78B19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7E72426A"/>
    <w:multiLevelType w:val="hybridMultilevel"/>
    <w:tmpl w:val="237CB4A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EC4CC7"/>
    <w:multiLevelType w:val="multilevel"/>
    <w:tmpl w:val="6A1C20FE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8E"/>
    <w:rsid w:val="000019B4"/>
    <w:rsid w:val="00036557"/>
    <w:rsid w:val="000762DD"/>
    <w:rsid w:val="000A69DC"/>
    <w:rsid w:val="000E2197"/>
    <w:rsid w:val="00122F90"/>
    <w:rsid w:val="00124231"/>
    <w:rsid w:val="001B5733"/>
    <w:rsid w:val="001D57A1"/>
    <w:rsid w:val="00200F79"/>
    <w:rsid w:val="0025354A"/>
    <w:rsid w:val="00260E8E"/>
    <w:rsid w:val="002647D3"/>
    <w:rsid w:val="002B3D3A"/>
    <w:rsid w:val="00311D6E"/>
    <w:rsid w:val="003309BD"/>
    <w:rsid w:val="003356AD"/>
    <w:rsid w:val="00421002"/>
    <w:rsid w:val="005234A7"/>
    <w:rsid w:val="005B76E8"/>
    <w:rsid w:val="00647D7C"/>
    <w:rsid w:val="006A007B"/>
    <w:rsid w:val="006C344B"/>
    <w:rsid w:val="00720D5E"/>
    <w:rsid w:val="00797E09"/>
    <w:rsid w:val="00847C15"/>
    <w:rsid w:val="008B55B3"/>
    <w:rsid w:val="008D69F5"/>
    <w:rsid w:val="00927DFE"/>
    <w:rsid w:val="009702AA"/>
    <w:rsid w:val="00972905"/>
    <w:rsid w:val="00A15244"/>
    <w:rsid w:val="00A204E9"/>
    <w:rsid w:val="00A47810"/>
    <w:rsid w:val="00AC19DF"/>
    <w:rsid w:val="00B01700"/>
    <w:rsid w:val="00B04EDB"/>
    <w:rsid w:val="00B108B0"/>
    <w:rsid w:val="00B400D0"/>
    <w:rsid w:val="00B511C2"/>
    <w:rsid w:val="00BD580D"/>
    <w:rsid w:val="00CF1B39"/>
    <w:rsid w:val="00D8374B"/>
    <w:rsid w:val="00E150D0"/>
    <w:rsid w:val="00E448F4"/>
    <w:rsid w:val="00E71E39"/>
    <w:rsid w:val="00EA10F1"/>
    <w:rsid w:val="00EC3637"/>
    <w:rsid w:val="00F10372"/>
    <w:rsid w:val="00F911B0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643D3-B2E1-4C80-A41D-0C1F1AE2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A204E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A204E9"/>
    <w:pPr>
      <w:ind w:left="720"/>
      <w:contextualSpacing/>
    </w:pPr>
  </w:style>
  <w:style w:type="paragraph" w:styleId="af1">
    <w:name w:val="Body Text"/>
    <w:basedOn w:val="a"/>
    <w:link w:val="af2"/>
    <w:rsid w:val="002647D3"/>
    <w:pPr>
      <w:spacing w:after="240"/>
    </w:pPr>
    <w:rPr>
      <w:sz w:val="22"/>
      <w:lang w:val="en-GB" w:eastAsia="en-US"/>
    </w:rPr>
  </w:style>
  <w:style w:type="character" w:customStyle="1" w:styleId="af2">
    <w:name w:val="Основной текст Знак"/>
    <w:basedOn w:val="a0"/>
    <w:link w:val="af1"/>
    <w:rsid w:val="002647D3"/>
    <w:rPr>
      <w:sz w:val="22"/>
      <w:lang w:val="en-GB" w:eastAsia="en-US"/>
    </w:rPr>
  </w:style>
  <w:style w:type="paragraph" w:customStyle="1" w:styleId="Style6">
    <w:name w:val="Style6"/>
    <w:basedOn w:val="a"/>
    <w:rsid w:val="002647D3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styleId="af3">
    <w:name w:val="Balloon Text"/>
    <w:basedOn w:val="a"/>
    <w:link w:val="af4"/>
    <w:uiPriority w:val="99"/>
    <w:semiHidden/>
    <w:unhideWhenUsed/>
    <w:rsid w:val="000762D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76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52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00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28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812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86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9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9347</Words>
  <Characters>5329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2020-02-26T14:39:00Z</cp:lastPrinted>
  <dcterms:created xsi:type="dcterms:W3CDTF">2020-03-06T08:46:00Z</dcterms:created>
  <dcterms:modified xsi:type="dcterms:W3CDTF">2020-03-06T08:46:00Z</dcterms:modified>
</cp:coreProperties>
</file>