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theme/themeOverride1.xml" ContentType="application/vnd.openxmlformats-officedocument.themeOverride+xml"/>
  <Override PartName="/word/charts/chart3.xml" ContentType="application/vnd.openxmlformats-officedocument.drawingml.chart+xml"/>
  <Override PartName="/word/theme/themeOverride2.xml" ContentType="application/vnd.openxmlformats-officedocument.themeOverride+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12E5" w:rsidRDefault="001912E5" w:rsidP="009C5286">
      <w:pPr>
        <w:ind w:right="5101"/>
        <w:jc w:val="both"/>
        <w:rPr>
          <w:rFonts w:eastAsia="Times New Roman" w:cs="Times New Roman"/>
          <w:lang w:val="uk-UA" w:eastAsia="ru-RU"/>
        </w:rPr>
      </w:pPr>
    </w:p>
    <w:p w:rsidR="009C5286" w:rsidRPr="007F6E6E" w:rsidRDefault="009C5286" w:rsidP="009C5286">
      <w:pPr>
        <w:ind w:right="5101"/>
        <w:jc w:val="both"/>
        <w:rPr>
          <w:rFonts w:eastAsia="Times New Roman" w:cs="Times New Roman"/>
          <w:lang w:val="uk-UA" w:eastAsia="ru-RU"/>
        </w:rPr>
      </w:pPr>
      <w:r w:rsidRPr="007F6E6E">
        <w:rPr>
          <w:rFonts w:eastAsia="Times New Roman" w:cs="Times New Roman"/>
          <w:lang w:val="uk-UA" w:eastAsia="ru-RU"/>
        </w:rPr>
        <w:t>Про внесення на розгляд міської ради про</w:t>
      </w:r>
      <w:r w:rsidR="00FC35A9">
        <w:rPr>
          <w:rFonts w:eastAsia="Times New Roman" w:cs="Times New Roman"/>
          <w:lang w:val="uk-UA" w:eastAsia="ru-RU"/>
        </w:rPr>
        <w:t>є</w:t>
      </w:r>
      <w:r w:rsidRPr="007F6E6E">
        <w:rPr>
          <w:rFonts w:eastAsia="Times New Roman" w:cs="Times New Roman"/>
          <w:lang w:val="uk-UA" w:eastAsia="ru-RU"/>
        </w:rPr>
        <w:t>кту рішення "Про виконання Програми економічного і соціального розвитку міста Івано-Франківська за 201</w:t>
      </w:r>
      <w:r w:rsidR="00FC35A9">
        <w:rPr>
          <w:rFonts w:eastAsia="Times New Roman" w:cs="Times New Roman"/>
          <w:lang w:val="uk-UA" w:eastAsia="ru-RU"/>
        </w:rPr>
        <w:t>9</w:t>
      </w:r>
      <w:r w:rsidRPr="007F6E6E">
        <w:rPr>
          <w:rFonts w:eastAsia="Times New Roman" w:cs="Times New Roman"/>
          <w:lang w:val="uk-UA" w:eastAsia="ru-RU"/>
        </w:rPr>
        <w:t xml:space="preserve"> рік"</w:t>
      </w:r>
    </w:p>
    <w:p w:rsidR="009C5286" w:rsidRPr="007F6E6E" w:rsidRDefault="009C5286" w:rsidP="009C5286">
      <w:pPr>
        <w:jc w:val="both"/>
        <w:rPr>
          <w:rFonts w:eastAsia="Times New Roman" w:cs="Times New Roman"/>
          <w:u w:val="single"/>
          <w:lang w:val="uk-UA" w:eastAsia="ru-RU"/>
        </w:rPr>
      </w:pPr>
    </w:p>
    <w:p w:rsidR="009C5286" w:rsidRPr="007F6E6E" w:rsidRDefault="009C5286" w:rsidP="009C5286">
      <w:pPr>
        <w:ind w:firstLine="708"/>
        <w:jc w:val="both"/>
        <w:rPr>
          <w:rFonts w:eastAsia="Times New Roman" w:cs="Times New Roman"/>
          <w:u w:val="single"/>
          <w:lang w:val="uk-UA" w:eastAsia="ru-RU"/>
        </w:rPr>
      </w:pPr>
    </w:p>
    <w:p w:rsidR="009C5286" w:rsidRPr="007F6E6E" w:rsidRDefault="009C5286" w:rsidP="009C5286">
      <w:pPr>
        <w:ind w:firstLine="708"/>
        <w:jc w:val="both"/>
        <w:rPr>
          <w:rFonts w:eastAsia="Times New Roman" w:cs="Times New Roman"/>
          <w:u w:val="single"/>
          <w:lang w:val="uk-UA" w:eastAsia="ru-RU"/>
        </w:rPr>
      </w:pPr>
    </w:p>
    <w:p w:rsidR="009C5286" w:rsidRPr="007F6E6E" w:rsidRDefault="009C5286" w:rsidP="009C5286">
      <w:pPr>
        <w:ind w:firstLine="708"/>
        <w:jc w:val="both"/>
        <w:rPr>
          <w:rFonts w:eastAsia="Times New Roman" w:cs="Times New Roman"/>
          <w:lang w:val="uk-UA" w:eastAsia="ru-RU"/>
        </w:rPr>
      </w:pPr>
      <w:r w:rsidRPr="007F6E6E">
        <w:rPr>
          <w:rFonts w:eastAsia="Times New Roman" w:cs="Times New Roman"/>
          <w:lang w:val="uk-UA" w:eastAsia="ru-RU"/>
        </w:rPr>
        <w:t>Керуючись ст.27 Закону України "Про місцеве самоврядування в Україні" та розглянувши інформацію про виконання Програми економічного і соціального розвитку міста Івано-Франківська за 201</w:t>
      </w:r>
      <w:r w:rsidR="00FC35A9">
        <w:rPr>
          <w:rFonts w:eastAsia="Times New Roman" w:cs="Times New Roman"/>
          <w:lang w:val="uk-UA" w:eastAsia="ru-RU"/>
        </w:rPr>
        <w:t xml:space="preserve">9 </w:t>
      </w:r>
      <w:r w:rsidRPr="007F6E6E">
        <w:rPr>
          <w:rFonts w:eastAsia="Times New Roman" w:cs="Times New Roman"/>
          <w:lang w:val="uk-UA" w:eastAsia="ru-RU"/>
        </w:rPr>
        <w:t>рік, виконавчий комітет міської ради</w:t>
      </w:r>
    </w:p>
    <w:p w:rsidR="009C5286" w:rsidRPr="007F6E6E" w:rsidRDefault="009C5286" w:rsidP="009C5286">
      <w:pPr>
        <w:jc w:val="center"/>
        <w:rPr>
          <w:rFonts w:eastAsia="Times New Roman" w:cs="Times New Roman"/>
          <w:lang w:val="uk-UA" w:eastAsia="ru-RU"/>
        </w:rPr>
      </w:pPr>
      <w:r w:rsidRPr="007F6E6E">
        <w:rPr>
          <w:rFonts w:eastAsia="Times New Roman" w:cs="Times New Roman"/>
          <w:lang w:val="uk-UA" w:eastAsia="ru-RU"/>
        </w:rPr>
        <w:t>в и р і ш и в:</w:t>
      </w:r>
    </w:p>
    <w:p w:rsidR="009C5286" w:rsidRPr="007F6E6E" w:rsidRDefault="009C5286" w:rsidP="009C5286">
      <w:pPr>
        <w:spacing w:after="120"/>
        <w:ind w:firstLine="680"/>
        <w:rPr>
          <w:rFonts w:eastAsia="Times New Roman" w:cs="Times New Roman"/>
          <w:u w:val="single"/>
          <w:lang w:val="x-none" w:eastAsia="x-none"/>
        </w:rPr>
      </w:pPr>
    </w:p>
    <w:p w:rsidR="009C5286" w:rsidRPr="007F6E6E" w:rsidRDefault="009C5286" w:rsidP="009C5286">
      <w:pPr>
        <w:tabs>
          <w:tab w:val="left" w:pos="993"/>
        </w:tabs>
        <w:jc w:val="both"/>
        <w:rPr>
          <w:rFonts w:eastAsia="Times New Roman" w:cs="Times New Roman"/>
          <w:lang w:val="x-none" w:eastAsia="x-none"/>
        </w:rPr>
      </w:pPr>
      <w:r w:rsidRPr="007F6E6E">
        <w:rPr>
          <w:rFonts w:eastAsia="Times New Roman" w:cs="Times New Roman"/>
          <w:lang w:val="x-none" w:eastAsia="x-none"/>
        </w:rPr>
        <w:tab/>
        <w:t xml:space="preserve">1. Внести на розгляд </w:t>
      </w:r>
      <w:r w:rsidR="00FC35A9">
        <w:rPr>
          <w:rFonts w:eastAsia="Times New Roman" w:cs="Times New Roman"/>
          <w:lang w:val="x-none" w:eastAsia="x-none"/>
        </w:rPr>
        <w:t>міської ради про</w:t>
      </w:r>
      <w:r w:rsidR="00FC35A9">
        <w:rPr>
          <w:rFonts w:eastAsia="Times New Roman" w:cs="Times New Roman"/>
          <w:lang w:val="uk-UA" w:eastAsia="x-none"/>
        </w:rPr>
        <w:t>є</w:t>
      </w:r>
      <w:r w:rsidRPr="007F6E6E">
        <w:rPr>
          <w:rFonts w:eastAsia="Times New Roman" w:cs="Times New Roman"/>
          <w:lang w:val="x-none" w:eastAsia="x-none"/>
        </w:rPr>
        <w:t>кт рішення "Про виконання Програми економічного і соціального розвитку міста Івано-Франківська за 201</w:t>
      </w:r>
      <w:r>
        <w:rPr>
          <w:rFonts w:eastAsia="Times New Roman" w:cs="Times New Roman"/>
          <w:lang w:val="uk-UA" w:eastAsia="x-none"/>
        </w:rPr>
        <w:t>9</w:t>
      </w:r>
      <w:r w:rsidRPr="007F6E6E">
        <w:rPr>
          <w:rFonts w:eastAsia="Times New Roman" w:cs="Times New Roman"/>
          <w:lang w:val="x-none" w:eastAsia="x-none"/>
        </w:rPr>
        <w:t xml:space="preserve"> рік"  (додається).</w:t>
      </w:r>
    </w:p>
    <w:p w:rsidR="009C5286" w:rsidRPr="007F6E6E" w:rsidRDefault="009C5286" w:rsidP="009C5286">
      <w:pPr>
        <w:tabs>
          <w:tab w:val="left" w:pos="993"/>
        </w:tabs>
        <w:jc w:val="both"/>
        <w:rPr>
          <w:rFonts w:eastAsia="Times New Roman" w:cs="Times New Roman"/>
          <w:lang w:val="x-none" w:eastAsia="x-none"/>
        </w:rPr>
      </w:pPr>
      <w:r w:rsidRPr="007F6E6E">
        <w:rPr>
          <w:rFonts w:eastAsia="Times New Roman" w:cs="Times New Roman"/>
          <w:lang w:val="uk-UA" w:eastAsia="x-none"/>
        </w:rPr>
        <w:tab/>
        <w:t xml:space="preserve">2. </w:t>
      </w:r>
      <w:r w:rsidRPr="007F6E6E">
        <w:rPr>
          <w:rFonts w:eastAsia="Times New Roman" w:cs="Times New Roman"/>
          <w:lang w:val="x-none" w:eastAsia="x-none"/>
        </w:rPr>
        <w:t xml:space="preserve">Контроль за виконанням рішення покласти на заступника міського голови </w:t>
      </w:r>
      <w:r>
        <w:rPr>
          <w:rFonts w:eastAsia="Times New Roman" w:cs="Times New Roman"/>
          <w:lang w:val="uk-UA" w:eastAsia="x-none"/>
        </w:rPr>
        <w:t>Р.Гайду</w:t>
      </w:r>
      <w:r w:rsidRPr="007F6E6E">
        <w:rPr>
          <w:rFonts w:eastAsia="Times New Roman" w:cs="Times New Roman"/>
          <w:lang w:val="x-none" w:eastAsia="x-none"/>
        </w:rPr>
        <w:t>.</w:t>
      </w:r>
    </w:p>
    <w:p w:rsidR="009C5286" w:rsidRPr="007F6E6E" w:rsidRDefault="009C5286" w:rsidP="009C5286">
      <w:pPr>
        <w:tabs>
          <w:tab w:val="left" w:pos="872"/>
        </w:tabs>
        <w:spacing w:after="120"/>
        <w:ind w:left="436"/>
        <w:rPr>
          <w:rFonts w:eastAsia="Times New Roman" w:cs="Times New Roman"/>
          <w:lang w:val="x-none" w:eastAsia="x-none"/>
        </w:rPr>
      </w:pPr>
    </w:p>
    <w:p w:rsidR="009C5286" w:rsidRPr="007F6E6E" w:rsidRDefault="009C5286" w:rsidP="009C5286">
      <w:pPr>
        <w:spacing w:after="120"/>
        <w:ind w:firstLine="720"/>
        <w:rPr>
          <w:rFonts w:eastAsia="Times New Roman" w:cs="Times New Roman"/>
          <w:lang w:val="x-none" w:eastAsia="x-none"/>
        </w:rPr>
      </w:pPr>
    </w:p>
    <w:p w:rsidR="009C5286" w:rsidRPr="007F6E6E" w:rsidRDefault="009C5286" w:rsidP="009C5286">
      <w:pPr>
        <w:spacing w:line="256" w:lineRule="auto"/>
        <w:ind w:firstLine="720"/>
        <w:rPr>
          <w:rFonts w:eastAsia="Times New Roman" w:cs="Times New Roman"/>
          <w:lang w:val="uk-UA" w:eastAsia="ru-RU"/>
        </w:rPr>
      </w:pPr>
      <w:r w:rsidRPr="007F6E6E">
        <w:rPr>
          <w:rFonts w:eastAsia="Times New Roman" w:cs="Times New Roman"/>
          <w:lang w:val="uk-UA" w:eastAsia="ru-RU"/>
        </w:rPr>
        <w:t>Міський голова</w:t>
      </w:r>
      <w:r w:rsidRPr="007F6E6E">
        <w:rPr>
          <w:rFonts w:eastAsia="Times New Roman" w:cs="Times New Roman"/>
          <w:lang w:val="uk-UA" w:eastAsia="ru-RU"/>
        </w:rPr>
        <w:tab/>
      </w:r>
      <w:r w:rsidRPr="007F6E6E">
        <w:rPr>
          <w:rFonts w:eastAsia="Times New Roman" w:cs="Times New Roman"/>
          <w:lang w:val="uk-UA" w:eastAsia="ru-RU"/>
        </w:rPr>
        <w:tab/>
      </w:r>
      <w:r w:rsidRPr="007F6E6E">
        <w:rPr>
          <w:rFonts w:eastAsia="Times New Roman" w:cs="Times New Roman"/>
          <w:lang w:val="uk-UA" w:eastAsia="ru-RU"/>
        </w:rPr>
        <w:tab/>
      </w:r>
      <w:r w:rsidRPr="007F6E6E">
        <w:rPr>
          <w:rFonts w:eastAsia="Times New Roman" w:cs="Times New Roman"/>
          <w:lang w:val="uk-UA" w:eastAsia="ru-RU"/>
        </w:rPr>
        <w:tab/>
        <w:t>Руслан Марцінків</w:t>
      </w:r>
    </w:p>
    <w:p w:rsidR="009C5286" w:rsidRPr="007F6E6E" w:rsidRDefault="009C5286" w:rsidP="009C5286">
      <w:pPr>
        <w:tabs>
          <w:tab w:val="left" w:pos="872"/>
        </w:tabs>
        <w:spacing w:after="120"/>
        <w:ind w:left="436"/>
        <w:rPr>
          <w:rFonts w:eastAsia="Times New Roman" w:cs="Times New Roman"/>
          <w:lang w:val="uk-UA" w:eastAsia="x-none"/>
        </w:rPr>
      </w:pPr>
    </w:p>
    <w:p w:rsidR="009C5286" w:rsidRPr="007F6E6E" w:rsidRDefault="009C5286" w:rsidP="009C5286">
      <w:pPr>
        <w:tabs>
          <w:tab w:val="left" w:pos="872"/>
        </w:tabs>
        <w:spacing w:after="120"/>
        <w:ind w:left="436"/>
        <w:rPr>
          <w:rFonts w:eastAsia="Times New Roman" w:cs="Times New Roman"/>
          <w:lang w:val="uk-UA" w:eastAsia="x-none"/>
        </w:rPr>
      </w:pPr>
    </w:p>
    <w:p w:rsidR="009C5286" w:rsidRPr="007F6E6E" w:rsidRDefault="009C5286" w:rsidP="009C5286">
      <w:pPr>
        <w:rPr>
          <w:rFonts w:eastAsia="Times New Roman" w:cs="Times New Roman"/>
          <w:sz w:val="24"/>
          <w:szCs w:val="24"/>
          <w:lang w:val="uk-UA" w:eastAsia="ru-RU"/>
        </w:rPr>
      </w:pPr>
    </w:p>
    <w:p w:rsidR="007B5FC8" w:rsidRDefault="007B5FC8" w:rsidP="007B5FC8">
      <w:pPr>
        <w:ind w:right="4818"/>
        <w:jc w:val="both"/>
        <w:rPr>
          <w:rFonts w:eastAsia="Times New Roman" w:cs="Times New Roman"/>
          <w:lang w:val="uk-UA" w:eastAsia="ru-RU"/>
        </w:rPr>
      </w:pPr>
    </w:p>
    <w:p w:rsidR="00E50112" w:rsidRDefault="00E50112" w:rsidP="007B5FC8">
      <w:pPr>
        <w:ind w:right="4818"/>
        <w:jc w:val="both"/>
        <w:rPr>
          <w:rFonts w:eastAsia="Times New Roman" w:cs="Times New Roman"/>
          <w:lang w:val="uk-UA" w:eastAsia="ru-RU"/>
        </w:rPr>
      </w:pPr>
    </w:p>
    <w:p w:rsidR="00E50112" w:rsidRDefault="00E50112" w:rsidP="007B5FC8">
      <w:pPr>
        <w:ind w:right="4818"/>
        <w:jc w:val="both"/>
        <w:rPr>
          <w:rFonts w:eastAsia="Times New Roman" w:cs="Times New Roman"/>
          <w:lang w:val="uk-UA" w:eastAsia="ru-RU"/>
        </w:rPr>
      </w:pPr>
    </w:p>
    <w:p w:rsidR="00E50112" w:rsidRDefault="00E50112" w:rsidP="007B5FC8">
      <w:pPr>
        <w:ind w:right="4818"/>
        <w:jc w:val="both"/>
        <w:rPr>
          <w:rFonts w:eastAsia="Times New Roman" w:cs="Times New Roman"/>
          <w:lang w:val="uk-UA" w:eastAsia="ru-RU"/>
        </w:rPr>
      </w:pPr>
    </w:p>
    <w:p w:rsidR="00E50112" w:rsidRDefault="00E50112" w:rsidP="007B5FC8">
      <w:pPr>
        <w:ind w:right="4818"/>
        <w:jc w:val="both"/>
        <w:rPr>
          <w:rFonts w:eastAsia="Times New Roman" w:cs="Times New Roman"/>
          <w:lang w:val="uk-UA" w:eastAsia="ru-RU"/>
        </w:rPr>
      </w:pPr>
    </w:p>
    <w:p w:rsidR="00E50112" w:rsidRDefault="00E50112" w:rsidP="007B5FC8">
      <w:pPr>
        <w:ind w:right="4818"/>
        <w:jc w:val="both"/>
        <w:rPr>
          <w:rFonts w:eastAsia="Times New Roman" w:cs="Times New Roman"/>
          <w:lang w:val="uk-UA" w:eastAsia="ru-RU"/>
        </w:rPr>
      </w:pPr>
    </w:p>
    <w:p w:rsidR="00E50112" w:rsidRDefault="00E50112" w:rsidP="007B5FC8">
      <w:pPr>
        <w:ind w:right="4818"/>
        <w:jc w:val="both"/>
        <w:rPr>
          <w:rFonts w:eastAsia="Times New Roman" w:cs="Times New Roman"/>
          <w:lang w:val="uk-UA" w:eastAsia="ru-RU"/>
        </w:rPr>
      </w:pPr>
    </w:p>
    <w:p w:rsidR="00E50112" w:rsidRDefault="00E50112" w:rsidP="007B5FC8">
      <w:pPr>
        <w:ind w:right="4818"/>
        <w:jc w:val="both"/>
        <w:rPr>
          <w:rFonts w:eastAsia="Times New Roman" w:cs="Times New Roman"/>
          <w:lang w:val="uk-UA" w:eastAsia="ru-RU"/>
        </w:rPr>
      </w:pPr>
    </w:p>
    <w:p w:rsidR="00E50112" w:rsidRDefault="00E50112" w:rsidP="007B5FC8">
      <w:pPr>
        <w:ind w:right="4818"/>
        <w:jc w:val="both"/>
        <w:rPr>
          <w:rFonts w:eastAsia="Times New Roman" w:cs="Times New Roman"/>
          <w:lang w:val="uk-UA" w:eastAsia="ru-RU"/>
        </w:rPr>
      </w:pPr>
    </w:p>
    <w:p w:rsidR="00E50112" w:rsidRDefault="00E50112" w:rsidP="007B5FC8">
      <w:pPr>
        <w:ind w:right="4818"/>
        <w:jc w:val="both"/>
        <w:rPr>
          <w:rFonts w:eastAsia="Times New Roman" w:cs="Times New Roman"/>
          <w:lang w:val="uk-UA" w:eastAsia="ru-RU"/>
        </w:rPr>
      </w:pPr>
    </w:p>
    <w:p w:rsidR="00E50112" w:rsidRDefault="00E50112" w:rsidP="007B5FC8">
      <w:pPr>
        <w:ind w:right="4818"/>
        <w:jc w:val="both"/>
        <w:rPr>
          <w:rFonts w:eastAsia="Times New Roman" w:cs="Times New Roman"/>
          <w:lang w:val="uk-UA" w:eastAsia="ru-RU"/>
        </w:rPr>
      </w:pPr>
    </w:p>
    <w:p w:rsidR="00E50112" w:rsidRDefault="00E50112" w:rsidP="007B5FC8">
      <w:pPr>
        <w:ind w:right="4818"/>
        <w:jc w:val="both"/>
        <w:rPr>
          <w:rFonts w:eastAsia="Times New Roman" w:cs="Times New Roman"/>
          <w:lang w:val="uk-UA" w:eastAsia="ru-RU"/>
        </w:rPr>
      </w:pPr>
    </w:p>
    <w:p w:rsidR="00E50112" w:rsidRDefault="00E50112" w:rsidP="007B5FC8">
      <w:pPr>
        <w:ind w:right="4818"/>
        <w:jc w:val="both"/>
        <w:rPr>
          <w:rFonts w:eastAsia="Times New Roman" w:cs="Times New Roman"/>
          <w:lang w:val="uk-UA" w:eastAsia="ru-RU"/>
        </w:rPr>
      </w:pPr>
    </w:p>
    <w:p w:rsidR="00E50112" w:rsidRDefault="00E50112" w:rsidP="007B5FC8">
      <w:pPr>
        <w:ind w:right="4818"/>
        <w:jc w:val="both"/>
        <w:rPr>
          <w:rFonts w:eastAsia="Times New Roman" w:cs="Times New Roman"/>
          <w:lang w:val="uk-UA" w:eastAsia="ru-RU"/>
        </w:rPr>
      </w:pPr>
    </w:p>
    <w:p w:rsidR="00E50112" w:rsidRDefault="00E50112" w:rsidP="007B5FC8">
      <w:pPr>
        <w:ind w:right="4818"/>
        <w:jc w:val="both"/>
        <w:rPr>
          <w:rFonts w:eastAsia="Times New Roman" w:cs="Times New Roman"/>
          <w:lang w:val="uk-UA" w:eastAsia="ru-RU"/>
        </w:rPr>
      </w:pPr>
    </w:p>
    <w:p w:rsidR="00E50112" w:rsidRPr="007B5FC8" w:rsidRDefault="00E50112" w:rsidP="007B5FC8">
      <w:pPr>
        <w:ind w:right="4818"/>
        <w:jc w:val="both"/>
        <w:rPr>
          <w:rFonts w:eastAsia="Times New Roman" w:cs="Times New Roman"/>
          <w:lang w:val="uk-UA" w:eastAsia="ru-RU"/>
        </w:rPr>
      </w:pPr>
      <w:bookmarkStart w:id="0" w:name="_GoBack"/>
      <w:bookmarkEnd w:id="0"/>
    </w:p>
    <w:p w:rsidR="007B5FC8" w:rsidRPr="007B5FC8" w:rsidRDefault="007B5FC8" w:rsidP="007B5FC8">
      <w:pPr>
        <w:ind w:right="4818"/>
        <w:jc w:val="both"/>
        <w:rPr>
          <w:rFonts w:eastAsia="Times New Roman" w:cs="Times New Roman"/>
          <w:lang w:val="uk-UA" w:eastAsia="ru-RU"/>
        </w:rPr>
      </w:pPr>
    </w:p>
    <w:p w:rsidR="007B5FC8" w:rsidRPr="007B5FC8" w:rsidRDefault="007B5FC8" w:rsidP="007B5FC8">
      <w:pPr>
        <w:tabs>
          <w:tab w:val="left" w:pos="3544"/>
        </w:tabs>
        <w:ind w:right="5526"/>
        <w:jc w:val="both"/>
        <w:rPr>
          <w:rFonts w:eastAsia="Times New Roman" w:cs="Times New Roman"/>
          <w:lang w:val="uk-UA" w:eastAsia="ru-RU"/>
        </w:rPr>
      </w:pPr>
      <w:r w:rsidRPr="007B5FC8">
        <w:rPr>
          <w:rFonts w:eastAsia="Times New Roman" w:cs="Times New Roman"/>
          <w:lang w:val="uk-UA" w:eastAsia="ru-RU"/>
        </w:rPr>
        <w:lastRenderedPageBreak/>
        <w:t xml:space="preserve">Про виконання Програми економічного і соціального розвитку міста Івано-Франківська за 2019 рік </w:t>
      </w:r>
    </w:p>
    <w:p w:rsidR="007B5FC8" w:rsidRPr="007B5FC8" w:rsidRDefault="007B5FC8" w:rsidP="007B5FC8">
      <w:pPr>
        <w:tabs>
          <w:tab w:val="left" w:pos="872"/>
        </w:tabs>
        <w:spacing w:after="120"/>
        <w:rPr>
          <w:rFonts w:eastAsia="Times New Roman" w:cs="Times New Roman"/>
          <w:lang w:val="uk-UA" w:eastAsia="x-none"/>
        </w:rPr>
      </w:pPr>
    </w:p>
    <w:p w:rsidR="007B5FC8" w:rsidRPr="007B5FC8" w:rsidRDefault="007B5FC8" w:rsidP="007B5FC8">
      <w:pPr>
        <w:ind w:right="-2"/>
        <w:jc w:val="both"/>
        <w:rPr>
          <w:rFonts w:eastAsia="Times New Roman" w:cs="Times New Roman"/>
          <w:lang w:val="uk-UA" w:eastAsia="ru-RU"/>
        </w:rPr>
      </w:pPr>
      <w:r w:rsidRPr="007B5FC8">
        <w:rPr>
          <w:rFonts w:eastAsia="Times New Roman" w:cs="Times New Roman"/>
          <w:lang w:val="uk-UA" w:eastAsia="ru-RU"/>
        </w:rPr>
        <w:tab/>
      </w:r>
    </w:p>
    <w:p w:rsidR="007B5FC8" w:rsidRPr="007B5FC8" w:rsidRDefault="007B5FC8" w:rsidP="007B5FC8">
      <w:pPr>
        <w:ind w:right="-2" w:firstLine="709"/>
        <w:jc w:val="both"/>
        <w:rPr>
          <w:rFonts w:eastAsia="Times New Roman" w:cs="Times New Roman"/>
          <w:lang w:val="uk-UA" w:eastAsia="ru-RU"/>
        </w:rPr>
      </w:pPr>
      <w:r w:rsidRPr="007B5FC8">
        <w:rPr>
          <w:rFonts w:eastAsia="Times New Roman" w:cs="Times New Roman"/>
          <w:lang w:val="uk-UA" w:eastAsia="ru-RU"/>
        </w:rPr>
        <w:t>Керуючись ст.26 Закону України "Про місцеве самоврядування в Україні" та розглянувши інформацію про виконання Програми економічного і соціального розвитку міста Івано-Франківська за 20</w:t>
      </w:r>
      <w:r w:rsidR="006F385C">
        <w:rPr>
          <w:rFonts w:eastAsia="Times New Roman" w:cs="Times New Roman"/>
          <w:lang w:val="uk-UA" w:eastAsia="ru-RU"/>
        </w:rPr>
        <w:t>19</w:t>
      </w:r>
      <w:r w:rsidRPr="007B5FC8">
        <w:rPr>
          <w:rFonts w:eastAsia="Times New Roman" w:cs="Times New Roman"/>
          <w:lang w:val="uk-UA" w:eastAsia="ru-RU"/>
        </w:rPr>
        <w:t xml:space="preserve"> рік, міська рада</w:t>
      </w:r>
    </w:p>
    <w:p w:rsidR="007B5FC8" w:rsidRPr="007B5FC8" w:rsidRDefault="007B5FC8" w:rsidP="007B5FC8">
      <w:pPr>
        <w:spacing w:before="120" w:after="120" w:line="276" w:lineRule="auto"/>
        <w:jc w:val="center"/>
        <w:rPr>
          <w:rFonts w:eastAsia="Times New Roman" w:cs="Times New Roman"/>
          <w:lang w:val="uk-UA" w:eastAsia="ru-RU"/>
        </w:rPr>
      </w:pPr>
      <w:r w:rsidRPr="007B5FC8">
        <w:rPr>
          <w:rFonts w:eastAsia="Times New Roman" w:cs="Times New Roman"/>
          <w:lang w:val="uk-UA" w:eastAsia="ru-RU"/>
        </w:rPr>
        <w:t>в и р і ш и л а:</w:t>
      </w:r>
    </w:p>
    <w:p w:rsidR="007B5FC8" w:rsidRPr="007B5FC8" w:rsidRDefault="007B5FC8" w:rsidP="007B5FC8">
      <w:pPr>
        <w:tabs>
          <w:tab w:val="left" w:pos="872"/>
          <w:tab w:val="left" w:pos="993"/>
        </w:tabs>
        <w:spacing w:after="120"/>
        <w:ind w:firstLine="851"/>
        <w:jc w:val="both"/>
        <w:rPr>
          <w:rFonts w:eastAsia="Times New Roman" w:cs="Times New Roman"/>
          <w:lang w:val="uk-UA" w:eastAsia="x-none"/>
        </w:rPr>
      </w:pPr>
      <w:r w:rsidRPr="007B5FC8">
        <w:rPr>
          <w:rFonts w:eastAsia="Times New Roman" w:cs="Times New Roman"/>
          <w:lang w:val="x-none" w:eastAsia="x-none"/>
        </w:rPr>
        <w:t>1. Інформацію про виконання Програми економічного і соціального розвитку міста Івано-Франківська за 201</w:t>
      </w:r>
      <w:r w:rsidRPr="007B5FC8">
        <w:rPr>
          <w:rFonts w:eastAsia="Times New Roman" w:cs="Times New Roman"/>
          <w:lang w:val="uk-UA" w:eastAsia="x-none"/>
        </w:rPr>
        <w:t>9</w:t>
      </w:r>
      <w:r w:rsidRPr="007B5FC8">
        <w:rPr>
          <w:rFonts w:eastAsia="Times New Roman" w:cs="Times New Roman"/>
          <w:lang w:val="x-none" w:eastAsia="x-none"/>
        </w:rPr>
        <w:t xml:space="preserve"> рік взяти до відома (додається).</w:t>
      </w:r>
    </w:p>
    <w:p w:rsidR="007B5FC8" w:rsidRPr="007B5FC8" w:rsidRDefault="008517ED" w:rsidP="007B5FC8">
      <w:pPr>
        <w:tabs>
          <w:tab w:val="left" w:pos="993"/>
        </w:tabs>
        <w:spacing w:after="120"/>
        <w:ind w:firstLine="851"/>
        <w:jc w:val="both"/>
        <w:rPr>
          <w:rFonts w:eastAsia="Times New Roman" w:cs="Times New Roman"/>
          <w:lang w:val="x-none" w:eastAsia="x-none"/>
        </w:rPr>
      </w:pPr>
      <w:r w:rsidRPr="009C5286">
        <w:rPr>
          <w:rFonts w:eastAsia="Times New Roman" w:cs="Times New Roman"/>
          <w:lang w:eastAsia="x-none"/>
        </w:rPr>
        <w:t>2</w:t>
      </w:r>
      <w:r w:rsidR="007B5FC8" w:rsidRPr="007B5FC8">
        <w:rPr>
          <w:rFonts w:eastAsia="Times New Roman" w:cs="Times New Roman"/>
          <w:lang w:val="x-none" w:eastAsia="x-none"/>
        </w:rPr>
        <w:t xml:space="preserve">. Контроль за виконанням рішення покласти на заступника міського голови </w:t>
      </w:r>
      <w:r w:rsidR="007B5FC8" w:rsidRPr="007B5FC8">
        <w:rPr>
          <w:rFonts w:eastAsia="Times New Roman" w:cs="Times New Roman"/>
          <w:lang w:val="uk-UA" w:eastAsia="x-none"/>
        </w:rPr>
        <w:t>Р.Гайду</w:t>
      </w:r>
      <w:r w:rsidR="007B5FC8" w:rsidRPr="007B5FC8">
        <w:rPr>
          <w:rFonts w:eastAsia="Times New Roman" w:cs="Times New Roman"/>
          <w:lang w:val="x-none" w:eastAsia="x-none"/>
        </w:rPr>
        <w:t>.</w:t>
      </w:r>
    </w:p>
    <w:p w:rsidR="007B5FC8" w:rsidRPr="007B5FC8" w:rsidRDefault="007B5FC8" w:rsidP="007B5FC8">
      <w:pPr>
        <w:tabs>
          <w:tab w:val="left" w:pos="851"/>
        </w:tabs>
        <w:ind w:firstLine="851"/>
        <w:jc w:val="both"/>
        <w:rPr>
          <w:rFonts w:eastAsia="Times New Roman" w:cs="Times New Roman"/>
          <w:lang w:val="uk-UA" w:eastAsia="ru-RU"/>
        </w:rPr>
      </w:pPr>
    </w:p>
    <w:p w:rsidR="007B5FC8" w:rsidRPr="007B5FC8" w:rsidRDefault="007B5FC8" w:rsidP="007B5FC8">
      <w:pPr>
        <w:spacing w:line="256" w:lineRule="auto"/>
        <w:ind w:firstLine="720"/>
        <w:rPr>
          <w:rFonts w:eastAsia="Times New Roman" w:cs="Times New Roman"/>
          <w:lang w:val="uk-UA" w:eastAsia="ru-RU"/>
        </w:rPr>
      </w:pPr>
    </w:p>
    <w:p w:rsidR="007B5FC8" w:rsidRPr="007B5FC8" w:rsidRDefault="007B5FC8" w:rsidP="007B5FC8">
      <w:pPr>
        <w:spacing w:line="256" w:lineRule="auto"/>
        <w:ind w:firstLine="720"/>
        <w:rPr>
          <w:rFonts w:eastAsia="Times New Roman" w:cs="Times New Roman"/>
          <w:lang w:val="uk-UA" w:eastAsia="ru-RU"/>
        </w:rPr>
      </w:pPr>
    </w:p>
    <w:p w:rsidR="007B5FC8" w:rsidRPr="007B5FC8" w:rsidRDefault="007B5FC8" w:rsidP="007B5FC8">
      <w:pPr>
        <w:spacing w:line="256" w:lineRule="auto"/>
        <w:ind w:firstLine="720"/>
        <w:rPr>
          <w:rFonts w:eastAsia="Times New Roman" w:cs="Times New Roman"/>
          <w:lang w:val="uk-UA" w:eastAsia="ru-RU"/>
        </w:rPr>
      </w:pPr>
    </w:p>
    <w:p w:rsidR="007B5FC8" w:rsidRPr="007B5FC8" w:rsidRDefault="007B5FC8" w:rsidP="007B5FC8">
      <w:pPr>
        <w:spacing w:line="256" w:lineRule="auto"/>
        <w:ind w:firstLine="720"/>
        <w:rPr>
          <w:rFonts w:eastAsia="Times New Roman" w:cs="Times New Roman"/>
          <w:lang w:val="uk-UA" w:eastAsia="ru-RU"/>
        </w:rPr>
      </w:pPr>
      <w:r w:rsidRPr="007B5FC8">
        <w:rPr>
          <w:rFonts w:eastAsia="Times New Roman" w:cs="Times New Roman"/>
          <w:lang w:val="uk-UA" w:eastAsia="ru-RU"/>
        </w:rPr>
        <w:t>Міський голова</w:t>
      </w:r>
      <w:r w:rsidRPr="007B5FC8">
        <w:rPr>
          <w:rFonts w:eastAsia="Times New Roman" w:cs="Times New Roman"/>
          <w:lang w:val="uk-UA" w:eastAsia="ru-RU"/>
        </w:rPr>
        <w:tab/>
      </w:r>
      <w:r w:rsidRPr="007B5FC8">
        <w:rPr>
          <w:rFonts w:eastAsia="Times New Roman" w:cs="Times New Roman"/>
          <w:lang w:val="uk-UA" w:eastAsia="ru-RU"/>
        </w:rPr>
        <w:tab/>
      </w:r>
      <w:r w:rsidRPr="007B5FC8">
        <w:rPr>
          <w:rFonts w:eastAsia="Times New Roman" w:cs="Times New Roman"/>
          <w:lang w:val="uk-UA" w:eastAsia="ru-RU"/>
        </w:rPr>
        <w:tab/>
      </w:r>
      <w:r w:rsidRPr="007B5FC8">
        <w:rPr>
          <w:rFonts w:eastAsia="Times New Roman" w:cs="Times New Roman"/>
          <w:lang w:val="uk-UA" w:eastAsia="ru-RU"/>
        </w:rPr>
        <w:tab/>
        <w:t>Руслан Марцінків</w:t>
      </w:r>
    </w:p>
    <w:p w:rsidR="007B5FC8" w:rsidRPr="007B5FC8" w:rsidRDefault="007B5FC8" w:rsidP="007B5FC8">
      <w:pPr>
        <w:rPr>
          <w:rFonts w:eastAsia="Times New Roman" w:cs="Times New Roman"/>
          <w:sz w:val="24"/>
          <w:szCs w:val="24"/>
          <w:lang w:val="uk-UA" w:eastAsia="ru-RU"/>
        </w:rPr>
      </w:pPr>
    </w:p>
    <w:p w:rsidR="007B5FC8" w:rsidRPr="007B5FC8" w:rsidRDefault="007B5FC8" w:rsidP="007B5FC8">
      <w:pPr>
        <w:rPr>
          <w:rFonts w:eastAsia="Times New Roman" w:cs="Times New Roman"/>
          <w:sz w:val="24"/>
          <w:szCs w:val="24"/>
          <w:highlight w:val="yellow"/>
          <w:lang w:val="uk-UA" w:eastAsia="ru-RU"/>
        </w:rPr>
      </w:pPr>
    </w:p>
    <w:p w:rsidR="007B5FC8" w:rsidRPr="007B5FC8" w:rsidRDefault="007B5FC8" w:rsidP="007B5FC8">
      <w:pPr>
        <w:rPr>
          <w:rFonts w:eastAsia="Times New Roman" w:cs="Times New Roman"/>
          <w:sz w:val="24"/>
          <w:szCs w:val="24"/>
          <w:highlight w:val="yellow"/>
          <w:lang w:val="uk-UA" w:eastAsia="ru-RU"/>
        </w:rPr>
      </w:pPr>
    </w:p>
    <w:p w:rsidR="007B5FC8" w:rsidRPr="007B5FC8" w:rsidRDefault="007B5FC8" w:rsidP="007B5FC8">
      <w:pPr>
        <w:rPr>
          <w:rFonts w:eastAsia="Times New Roman" w:cs="Times New Roman"/>
          <w:sz w:val="24"/>
          <w:szCs w:val="24"/>
          <w:highlight w:val="yellow"/>
          <w:lang w:val="uk-UA" w:eastAsia="ru-RU"/>
        </w:rPr>
      </w:pPr>
    </w:p>
    <w:p w:rsidR="007B5FC8" w:rsidRPr="007B5FC8" w:rsidRDefault="007B5FC8" w:rsidP="007B5FC8">
      <w:pPr>
        <w:rPr>
          <w:rFonts w:eastAsia="Times New Roman" w:cs="Times New Roman"/>
          <w:highlight w:val="yellow"/>
          <w:lang w:val="uk-UA" w:eastAsia="ru-RU"/>
        </w:rPr>
      </w:pPr>
    </w:p>
    <w:p w:rsidR="007B5FC8" w:rsidRPr="007B5FC8" w:rsidRDefault="007B5FC8" w:rsidP="007B5FC8">
      <w:pPr>
        <w:jc w:val="center"/>
        <w:rPr>
          <w:b/>
          <w:highlight w:val="yellow"/>
          <w:lang w:val="uk-UA"/>
        </w:rPr>
      </w:pPr>
    </w:p>
    <w:p w:rsidR="007B5FC8" w:rsidRPr="007B5FC8" w:rsidRDefault="007B5FC8" w:rsidP="007B5FC8">
      <w:pPr>
        <w:spacing w:after="200" w:line="276" w:lineRule="auto"/>
        <w:rPr>
          <w:b/>
          <w:highlight w:val="yellow"/>
          <w:lang w:val="uk-UA"/>
        </w:rPr>
      </w:pPr>
      <w:r w:rsidRPr="007B5FC8">
        <w:rPr>
          <w:b/>
          <w:highlight w:val="yellow"/>
          <w:lang w:val="uk-UA"/>
        </w:rPr>
        <w:br w:type="page"/>
      </w:r>
    </w:p>
    <w:p w:rsidR="007B5FC8" w:rsidRPr="007B5FC8" w:rsidRDefault="007B5FC8" w:rsidP="007B5FC8">
      <w:pPr>
        <w:jc w:val="center"/>
        <w:rPr>
          <w:b/>
          <w:lang w:val="uk-UA"/>
        </w:rPr>
      </w:pPr>
      <w:r w:rsidRPr="007B5FC8">
        <w:rPr>
          <w:b/>
          <w:lang w:val="uk-UA"/>
        </w:rPr>
        <w:lastRenderedPageBreak/>
        <w:t>Інформація</w:t>
      </w:r>
    </w:p>
    <w:p w:rsidR="007B5FC8" w:rsidRPr="007B5FC8" w:rsidRDefault="007B5FC8" w:rsidP="007B5FC8">
      <w:pPr>
        <w:jc w:val="center"/>
        <w:rPr>
          <w:b/>
          <w:lang w:val="uk-UA"/>
        </w:rPr>
      </w:pPr>
      <w:r w:rsidRPr="007B5FC8">
        <w:rPr>
          <w:b/>
          <w:lang w:val="uk-UA"/>
        </w:rPr>
        <w:t xml:space="preserve">про виконання Програми економічного і соціального </w:t>
      </w:r>
    </w:p>
    <w:p w:rsidR="007B5FC8" w:rsidRPr="007B5FC8" w:rsidRDefault="007B5FC8" w:rsidP="007B5FC8">
      <w:pPr>
        <w:jc w:val="center"/>
        <w:rPr>
          <w:lang w:val="uk-UA" w:eastAsia="uk-UA"/>
        </w:rPr>
      </w:pPr>
      <w:r w:rsidRPr="007B5FC8">
        <w:rPr>
          <w:b/>
          <w:lang w:val="uk-UA"/>
        </w:rPr>
        <w:t xml:space="preserve">розвитку міста </w:t>
      </w:r>
      <w:r w:rsidRPr="007B5FC8">
        <w:rPr>
          <w:b/>
          <w:lang w:val="uk-UA" w:eastAsia="uk-UA"/>
        </w:rPr>
        <w:t>за 201</w:t>
      </w:r>
      <w:r>
        <w:rPr>
          <w:b/>
          <w:lang w:val="uk-UA" w:eastAsia="uk-UA"/>
        </w:rPr>
        <w:t>9</w:t>
      </w:r>
      <w:r w:rsidRPr="007B5FC8">
        <w:rPr>
          <w:b/>
          <w:lang w:val="uk-UA" w:eastAsia="uk-UA"/>
        </w:rPr>
        <w:t xml:space="preserve"> рік</w:t>
      </w:r>
    </w:p>
    <w:p w:rsidR="007B5FC8" w:rsidRPr="007B5FC8" w:rsidRDefault="007B5FC8" w:rsidP="007B5FC8">
      <w:pPr>
        <w:pStyle w:val="a3"/>
        <w:ind w:firstLine="697"/>
        <w:rPr>
          <w:sz w:val="28"/>
          <w:szCs w:val="28"/>
          <w:highlight w:val="yellow"/>
          <w:lang w:val="uk-UA"/>
        </w:rPr>
      </w:pPr>
    </w:p>
    <w:p w:rsidR="007B5FC8" w:rsidRPr="0028609F" w:rsidRDefault="007B5FC8" w:rsidP="007B5FC8">
      <w:pPr>
        <w:pStyle w:val="a3"/>
        <w:ind w:firstLine="697"/>
        <w:rPr>
          <w:sz w:val="28"/>
          <w:szCs w:val="28"/>
          <w:lang w:val="uk-UA"/>
        </w:rPr>
      </w:pPr>
      <w:r w:rsidRPr="0028609F">
        <w:rPr>
          <w:sz w:val="28"/>
          <w:szCs w:val="28"/>
          <w:lang w:val="uk-UA"/>
        </w:rPr>
        <w:t xml:space="preserve">Структурними підрозділами виконавчого комітету міської ради, підприємствами та організаціями міста, суб’єктами підприємницької діяльності проведено значну роботу  в напрямку реалізації завдань та заходів Програми економічного і соціального розвитку міста Івано-Франківська на 2019-2020 роки, затвердженої рішенням сесії міської ради від </w:t>
      </w:r>
      <w:r w:rsidR="006F385C">
        <w:rPr>
          <w:color w:val="000000"/>
          <w:sz w:val="28"/>
          <w:szCs w:val="28"/>
          <w:shd w:val="clear" w:color="auto" w:fill="FFFFFF"/>
        </w:rPr>
        <w:t xml:space="preserve"> 14.12.2018р.  №</w:t>
      </w:r>
      <w:r w:rsidRPr="0028609F">
        <w:rPr>
          <w:color w:val="000000"/>
          <w:sz w:val="28"/>
          <w:szCs w:val="28"/>
          <w:shd w:val="clear" w:color="auto" w:fill="FFFFFF"/>
        </w:rPr>
        <w:t>337-22</w:t>
      </w:r>
      <w:r w:rsidRPr="0028609F">
        <w:rPr>
          <w:sz w:val="28"/>
          <w:szCs w:val="28"/>
          <w:lang w:val="uk-UA"/>
        </w:rPr>
        <w:t xml:space="preserve">, а також заходів </w:t>
      </w:r>
      <w:r w:rsidRPr="0028609F">
        <w:rPr>
          <w:color w:val="000000"/>
          <w:sz w:val="28"/>
          <w:szCs w:val="28"/>
          <w:shd w:val="clear" w:color="auto" w:fill="FFFFFF"/>
          <w:lang w:val="uk-UA"/>
        </w:rPr>
        <w:t>щодо наповнення бюджету міста, дотримання режиму економії бюджетних коштів та посилення фінансово-бюджетної дисципліни на 201</w:t>
      </w:r>
      <w:r w:rsidR="0028609F" w:rsidRPr="0028609F">
        <w:rPr>
          <w:color w:val="000000"/>
          <w:sz w:val="28"/>
          <w:szCs w:val="28"/>
          <w:shd w:val="clear" w:color="auto" w:fill="FFFFFF"/>
          <w:lang w:val="uk-UA"/>
        </w:rPr>
        <w:t>9</w:t>
      </w:r>
      <w:r w:rsidRPr="0028609F">
        <w:rPr>
          <w:color w:val="000000"/>
          <w:sz w:val="28"/>
          <w:szCs w:val="28"/>
          <w:shd w:val="clear" w:color="auto" w:fill="FFFFFF"/>
          <w:lang w:val="uk-UA"/>
        </w:rPr>
        <w:t xml:space="preserve"> рік</w:t>
      </w:r>
      <w:r w:rsidRPr="0028609F">
        <w:rPr>
          <w:sz w:val="28"/>
          <w:szCs w:val="28"/>
          <w:lang w:val="uk-UA"/>
        </w:rPr>
        <w:t>, затверджених рішенням виконавчого комітету</w:t>
      </w:r>
      <w:r w:rsidR="0028609F" w:rsidRPr="0028609F">
        <w:rPr>
          <w:sz w:val="28"/>
          <w:szCs w:val="28"/>
          <w:lang w:val="uk-UA"/>
        </w:rPr>
        <w:t xml:space="preserve"> від 14.03.2019р. №300</w:t>
      </w:r>
      <w:r w:rsidRPr="0028609F">
        <w:rPr>
          <w:sz w:val="28"/>
          <w:szCs w:val="28"/>
          <w:lang w:val="uk-UA"/>
        </w:rPr>
        <w:t>.</w:t>
      </w:r>
    </w:p>
    <w:p w:rsidR="00E604D2" w:rsidRPr="00641990" w:rsidRDefault="00E604D2" w:rsidP="00E604D2">
      <w:pPr>
        <w:ind w:firstLine="709"/>
        <w:jc w:val="both"/>
      </w:pPr>
      <w:r w:rsidRPr="00641990">
        <w:t xml:space="preserve">Місто Івано-Франківськ розвивається динамічно і про це свідчать основні показники соціально-економічного розвитку міста. </w:t>
      </w:r>
    </w:p>
    <w:p w:rsidR="00E604D2" w:rsidRDefault="00E604D2" w:rsidP="00E604D2">
      <w:pPr>
        <w:ind w:firstLine="709"/>
        <w:jc w:val="both"/>
      </w:pPr>
      <w:r>
        <w:t xml:space="preserve">За результатами проведеного аналізу основних економічних і соціальних показників </w:t>
      </w:r>
      <w:r w:rsidRPr="00264D32">
        <w:t xml:space="preserve">розвитку </w:t>
      </w:r>
      <w:r>
        <w:t xml:space="preserve">міста Івано-Франківська </w:t>
      </w:r>
      <w:r w:rsidRPr="00641990">
        <w:t xml:space="preserve">у порівнянні з </w:t>
      </w:r>
      <w:r>
        <w:t>обласними центрами</w:t>
      </w:r>
      <w:r w:rsidRPr="00755009">
        <w:t xml:space="preserve"> з аналогічною чисель</w:t>
      </w:r>
      <w:r>
        <w:t>ністю населення (35 показників)</w:t>
      </w:r>
      <w:r w:rsidRPr="00641990">
        <w:t xml:space="preserve"> наше місто займає </w:t>
      </w:r>
      <w:r>
        <w:t>друге</w:t>
      </w:r>
      <w:r w:rsidRPr="00641990">
        <w:t xml:space="preserve"> місце</w:t>
      </w:r>
      <w:r>
        <w:t xml:space="preserve"> після м.Вінниці (на основі даних</w:t>
      </w:r>
      <w:r w:rsidRPr="00641990">
        <w:t xml:space="preserve"> Головного управління статистики в Івано-Франківській області</w:t>
      </w:r>
      <w:r>
        <w:t>).</w:t>
      </w:r>
      <w:r w:rsidRPr="00641990">
        <w:t xml:space="preserve"> </w:t>
      </w:r>
    </w:p>
    <w:p w:rsidR="00E604D2" w:rsidRPr="00E604D2" w:rsidRDefault="00F07D5B" w:rsidP="00C717CD">
      <w:pPr>
        <w:ind w:firstLine="697"/>
        <w:jc w:val="both"/>
        <w:outlineLvl w:val="3"/>
        <w:rPr>
          <w:rFonts w:eastAsia="Times New Roman" w:cs="Times New Roman"/>
          <w:bCs/>
          <w:lang w:eastAsia="uk-UA"/>
        </w:rPr>
      </w:pPr>
      <w:r>
        <w:rPr>
          <w:rFonts w:eastAsia="Times New Roman" w:cs="Times New Roman"/>
          <w:bCs/>
          <w:noProof/>
          <w:lang w:val="uk-UA" w:eastAsia="uk-UA"/>
        </w:rPr>
        <w:drawing>
          <wp:inline distT="0" distB="0" distL="0" distR="0" wp14:anchorId="2C64F5C5">
            <wp:extent cx="5072380" cy="204216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72380" cy="2042160"/>
                    </a:xfrm>
                    <a:prstGeom prst="rect">
                      <a:avLst/>
                    </a:prstGeom>
                    <a:noFill/>
                  </pic:spPr>
                </pic:pic>
              </a:graphicData>
            </a:graphic>
          </wp:inline>
        </w:drawing>
      </w:r>
    </w:p>
    <w:p w:rsidR="004765E6" w:rsidRPr="00C717CD" w:rsidRDefault="00694CDB" w:rsidP="00C717CD">
      <w:pPr>
        <w:ind w:firstLine="697"/>
        <w:jc w:val="both"/>
        <w:outlineLvl w:val="3"/>
        <w:rPr>
          <w:rFonts w:eastAsia="Times New Roman" w:cs="Times New Roman"/>
          <w:lang w:val="uk-UA" w:eastAsia="uk-UA"/>
        </w:rPr>
      </w:pPr>
      <w:r>
        <w:rPr>
          <w:rFonts w:eastAsia="Times New Roman" w:cs="Times New Roman"/>
          <w:bCs/>
          <w:lang w:val="uk-UA" w:eastAsia="uk-UA"/>
        </w:rPr>
        <w:t>Слід відзначити, що м</w:t>
      </w:r>
      <w:r w:rsidR="00C717CD" w:rsidRPr="009C5286">
        <w:rPr>
          <w:rFonts w:eastAsia="Times New Roman" w:cs="Times New Roman"/>
          <w:bCs/>
          <w:lang w:val="uk-UA" w:eastAsia="uk-UA"/>
        </w:rPr>
        <w:t>іжнародни</w:t>
      </w:r>
      <w:r>
        <w:rPr>
          <w:rFonts w:eastAsia="Times New Roman" w:cs="Times New Roman"/>
          <w:bCs/>
          <w:lang w:val="uk-UA" w:eastAsia="uk-UA"/>
        </w:rPr>
        <w:t>м</w:t>
      </w:r>
      <w:r w:rsidR="00C717CD" w:rsidRPr="009C5286">
        <w:rPr>
          <w:rFonts w:eastAsia="Times New Roman" w:cs="Times New Roman"/>
          <w:bCs/>
          <w:lang w:val="uk-UA" w:eastAsia="uk-UA"/>
        </w:rPr>
        <w:t xml:space="preserve"> республіканськи</w:t>
      </w:r>
      <w:r>
        <w:rPr>
          <w:rFonts w:eastAsia="Times New Roman" w:cs="Times New Roman"/>
          <w:bCs/>
          <w:lang w:val="uk-UA" w:eastAsia="uk-UA"/>
        </w:rPr>
        <w:t>м</w:t>
      </w:r>
      <w:r w:rsidR="00C717CD" w:rsidRPr="009C5286">
        <w:rPr>
          <w:rFonts w:eastAsia="Times New Roman" w:cs="Times New Roman"/>
          <w:bCs/>
          <w:lang w:val="uk-UA" w:eastAsia="uk-UA"/>
        </w:rPr>
        <w:t xml:space="preserve"> інститут</w:t>
      </w:r>
      <w:r>
        <w:rPr>
          <w:rFonts w:eastAsia="Times New Roman" w:cs="Times New Roman"/>
          <w:bCs/>
          <w:lang w:val="uk-UA" w:eastAsia="uk-UA"/>
        </w:rPr>
        <w:t>ом</w:t>
      </w:r>
      <w:r w:rsidR="00C717CD" w:rsidRPr="009C5286">
        <w:rPr>
          <w:rFonts w:eastAsia="Times New Roman" w:cs="Times New Roman"/>
          <w:bCs/>
          <w:lang w:val="uk-UA" w:eastAsia="uk-UA"/>
        </w:rPr>
        <w:t xml:space="preserve"> США (</w:t>
      </w:r>
      <w:r w:rsidR="00C717CD" w:rsidRPr="00C717CD">
        <w:rPr>
          <w:rFonts w:eastAsia="Times New Roman" w:cs="Times New Roman"/>
          <w:bCs/>
          <w:lang w:eastAsia="uk-UA"/>
        </w:rPr>
        <w:t>IRI</w:t>
      </w:r>
      <w:r w:rsidR="00C717CD" w:rsidRPr="009C5286">
        <w:rPr>
          <w:rFonts w:eastAsia="Times New Roman" w:cs="Times New Roman"/>
          <w:bCs/>
          <w:lang w:val="uk-UA" w:eastAsia="uk-UA"/>
        </w:rPr>
        <w:t xml:space="preserve">) </w:t>
      </w:r>
      <w:r>
        <w:rPr>
          <w:rFonts w:eastAsia="Times New Roman" w:cs="Times New Roman"/>
          <w:bCs/>
          <w:lang w:val="uk-UA" w:eastAsia="uk-UA"/>
        </w:rPr>
        <w:t>визнано</w:t>
      </w:r>
      <w:r w:rsidR="00C717CD" w:rsidRPr="009C5286">
        <w:rPr>
          <w:rFonts w:eastAsia="Times New Roman" w:cs="Times New Roman"/>
          <w:bCs/>
          <w:lang w:val="uk-UA" w:eastAsia="uk-UA"/>
        </w:rPr>
        <w:t xml:space="preserve"> Івано-Франківськ одн</w:t>
      </w:r>
      <w:r>
        <w:rPr>
          <w:rFonts w:eastAsia="Times New Roman" w:cs="Times New Roman"/>
          <w:bCs/>
          <w:lang w:val="uk-UA" w:eastAsia="uk-UA"/>
        </w:rPr>
        <w:t>им</w:t>
      </w:r>
      <w:r w:rsidR="00C717CD" w:rsidRPr="009C5286">
        <w:rPr>
          <w:rFonts w:eastAsia="Times New Roman" w:cs="Times New Roman"/>
          <w:bCs/>
          <w:lang w:val="uk-UA" w:eastAsia="uk-UA"/>
        </w:rPr>
        <w:t xml:space="preserve"> із найкомфортніших міст України.</w:t>
      </w:r>
      <w:r w:rsidR="00C717CD">
        <w:rPr>
          <w:rFonts w:eastAsia="Times New Roman" w:cs="Times New Roman"/>
          <w:bCs/>
          <w:lang w:val="uk-UA" w:eastAsia="uk-UA"/>
        </w:rPr>
        <w:t xml:space="preserve"> </w:t>
      </w:r>
      <w:r>
        <w:rPr>
          <w:rFonts w:eastAsia="Times New Roman" w:cs="Times New Roman"/>
          <w:lang w:val="uk-UA" w:eastAsia="uk-UA"/>
        </w:rPr>
        <w:t>Соціологічна група "Рейтинг"</w:t>
      </w:r>
      <w:r w:rsidR="004765E6" w:rsidRPr="009C5286">
        <w:rPr>
          <w:rFonts w:eastAsia="Times New Roman" w:cs="Times New Roman"/>
          <w:lang w:val="uk-UA" w:eastAsia="uk-UA"/>
        </w:rPr>
        <w:t xml:space="preserve"> на замовлення Міжнародного республіканського інституту </w:t>
      </w:r>
      <w:r w:rsidR="004765E6" w:rsidRPr="00C717CD">
        <w:rPr>
          <w:rFonts w:eastAsia="Times New Roman" w:cs="Times New Roman"/>
          <w:lang w:eastAsia="uk-UA"/>
        </w:rPr>
        <w:t>International</w:t>
      </w:r>
      <w:r w:rsidR="004765E6" w:rsidRPr="009C5286">
        <w:rPr>
          <w:rFonts w:eastAsia="Times New Roman" w:cs="Times New Roman"/>
          <w:lang w:val="uk-UA" w:eastAsia="uk-UA"/>
        </w:rPr>
        <w:t xml:space="preserve"> </w:t>
      </w:r>
      <w:r w:rsidR="004765E6" w:rsidRPr="00C717CD">
        <w:rPr>
          <w:rFonts w:eastAsia="Times New Roman" w:cs="Times New Roman"/>
          <w:lang w:eastAsia="uk-UA"/>
        </w:rPr>
        <w:t>Republican</w:t>
      </w:r>
      <w:r w:rsidR="004765E6" w:rsidRPr="009C5286">
        <w:rPr>
          <w:rFonts w:eastAsia="Times New Roman" w:cs="Times New Roman"/>
          <w:lang w:val="uk-UA" w:eastAsia="uk-UA"/>
        </w:rPr>
        <w:t xml:space="preserve"> </w:t>
      </w:r>
      <w:r w:rsidR="004765E6" w:rsidRPr="00C717CD">
        <w:rPr>
          <w:rFonts w:eastAsia="Times New Roman" w:cs="Times New Roman"/>
          <w:lang w:eastAsia="uk-UA"/>
        </w:rPr>
        <w:t>Institute</w:t>
      </w:r>
      <w:r w:rsidR="004765E6" w:rsidRPr="009C5286">
        <w:rPr>
          <w:rFonts w:eastAsia="Times New Roman" w:cs="Times New Roman"/>
          <w:lang w:val="uk-UA" w:eastAsia="uk-UA"/>
        </w:rPr>
        <w:t xml:space="preserve"> (</w:t>
      </w:r>
      <w:r w:rsidR="004765E6" w:rsidRPr="00C717CD">
        <w:rPr>
          <w:rFonts w:eastAsia="Times New Roman" w:cs="Times New Roman"/>
          <w:lang w:eastAsia="uk-UA"/>
        </w:rPr>
        <w:t>IRI</w:t>
      </w:r>
      <w:r w:rsidR="004765E6" w:rsidRPr="009C5286">
        <w:rPr>
          <w:rFonts w:eastAsia="Times New Roman" w:cs="Times New Roman"/>
          <w:lang w:val="uk-UA" w:eastAsia="uk-UA"/>
        </w:rPr>
        <w:t>) провела дослідження щодо комфортності українських міст у 2019 році.</w:t>
      </w:r>
      <w:r w:rsidR="004765E6" w:rsidRPr="00C717CD">
        <w:rPr>
          <w:rFonts w:eastAsia="Times New Roman" w:cs="Times New Roman"/>
          <w:lang w:val="uk-UA" w:eastAsia="uk-UA"/>
        </w:rPr>
        <w:t xml:space="preserve"> </w:t>
      </w:r>
      <w:r>
        <w:rPr>
          <w:rFonts w:eastAsia="Times New Roman" w:cs="Times New Roman"/>
          <w:lang w:val="uk-UA" w:eastAsia="uk-UA"/>
        </w:rPr>
        <w:t>Івано-Франківськ увійшов у</w:t>
      </w:r>
      <w:r w:rsidR="00C717CD" w:rsidRPr="00694CDB">
        <w:rPr>
          <w:rFonts w:eastAsia="Times New Roman" w:cs="Times New Roman"/>
          <w:lang w:val="uk-UA" w:eastAsia="uk-UA"/>
        </w:rPr>
        <w:t xml:space="preserve"> п’ятірку кращих</w:t>
      </w:r>
      <w:r>
        <w:rPr>
          <w:rFonts w:eastAsia="Times New Roman" w:cs="Times New Roman"/>
          <w:lang w:val="uk-UA" w:eastAsia="uk-UA"/>
        </w:rPr>
        <w:t xml:space="preserve"> поряд із</w:t>
      </w:r>
      <w:r w:rsidR="00C717CD" w:rsidRPr="00694CDB">
        <w:rPr>
          <w:rFonts w:eastAsia="Times New Roman" w:cs="Times New Roman"/>
          <w:lang w:val="uk-UA" w:eastAsia="uk-UA"/>
        </w:rPr>
        <w:t xml:space="preserve"> </w:t>
      </w:r>
      <w:r>
        <w:rPr>
          <w:rFonts w:eastAsia="Times New Roman" w:cs="Times New Roman"/>
          <w:lang w:val="uk-UA" w:eastAsia="uk-UA"/>
        </w:rPr>
        <w:t>Вінницею, Хмельницьким та Черніго</w:t>
      </w:r>
      <w:r w:rsidR="00C717CD" w:rsidRPr="00694CDB">
        <w:rPr>
          <w:rFonts w:eastAsia="Times New Roman" w:cs="Times New Roman"/>
          <w:lang w:val="uk-UA" w:eastAsia="uk-UA"/>
        </w:rPr>
        <w:t>в</w:t>
      </w:r>
      <w:r>
        <w:rPr>
          <w:rFonts w:eastAsia="Times New Roman" w:cs="Times New Roman"/>
          <w:lang w:val="uk-UA" w:eastAsia="uk-UA"/>
        </w:rPr>
        <w:t>им</w:t>
      </w:r>
      <w:r w:rsidR="00C717CD">
        <w:rPr>
          <w:rFonts w:eastAsia="Times New Roman" w:cs="Times New Roman"/>
          <w:lang w:val="uk-UA" w:eastAsia="uk-UA"/>
        </w:rPr>
        <w:t>.</w:t>
      </w:r>
    </w:p>
    <w:p w:rsidR="00F07D5B" w:rsidRPr="004765E6" w:rsidRDefault="00F07D5B" w:rsidP="00F07D5B">
      <w:pPr>
        <w:ind w:firstLine="697"/>
        <w:jc w:val="both"/>
        <w:rPr>
          <w:rFonts w:eastAsia="Times New Roman" w:cs="Times New Roman"/>
          <w:lang w:val="uk-UA" w:eastAsia="uk-UA"/>
        </w:rPr>
      </w:pPr>
      <w:r w:rsidRPr="0028609F">
        <w:rPr>
          <w:rFonts w:eastAsia="Times New Roman" w:cs="Times New Roman"/>
          <w:lang w:val="uk-UA" w:eastAsia="uk-UA"/>
        </w:rPr>
        <w:t xml:space="preserve">Ситуація в реальному секторі економіки міста Івано-Франківська впродовж 2019 року характеризувалася наявністю як позитивних, так і </w:t>
      </w:r>
      <w:r w:rsidRPr="004765E6">
        <w:rPr>
          <w:rFonts w:eastAsia="Times New Roman" w:cs="Times New Roman"/>
          <w:lang w:val="uk-UA" w:eastAsia="uk-UA"/>
        </w:rPr>
        <w:t>негативних тенденцій.</w:t>
      </w:r>
    </w:p>
    <w:p w:rsidR="007B5FC8" w:rsidRPr="00C717CD" w:rsidRDefault="007B5FC8" w:rsidP="004765E6">
      <w:pPr>
        <w:ind w:firstLine="700"/>
        <w:jc w:val="both"/>
        <w:rPr>
          <w:bCs/>
          <w:highlight w:val="yellow"/>
          <w:lang w:val="uk-UA"/>
        </w:rPr>
      </w:pPr>
    </w:p>
    <w:p w:rsidR="007B5FC8" w:rsidRPr="0028609F" w:rsidRDefault="007B5FC8" w:rsidP="007B5FC8">
      <w:pPr>
        <w:pStyle w:val="af1"/>
        <w:numPr>
          <w:ilvl w:val="0"/>
          <w:numId w:val="2"/>
        </w:numPr>
        <w:tabs>
          <w:tab w:val="left" w:pos="708"/>
          <w:tab w:val="left" w:pos="1416"/>
          <w:tab w:val="left" w:pos="2124"/>
          <w:tab w:val="left" w:pos="2832"/>
          <w:tab w:val="left" w:pos="3540"/>
          <w:tab w:val="left" w:pos="4248"/>
          <w:tab w:val="left" w:pos="4956"/>
          <w:tab w:val="left" w:pos="5833"/>
        </w:tabs>
        <w:jc w:val="both"/>
        <w:rPr>
          <w:b/>
          <w:bCs/>
          <w:i/>
          <w:sz w:val="28"/>
          <w:szCs w:val="28"/>
          <w:lang w:val="uk-UA"/>
        </w:rPr>
      </w:pPr>
      <w:r w:rsidRPr="0028609F">
        <w:rPr>
          <w:b/>
          <w:bCs/>
          <w:i/>
          <w:sz w:val="28"/>
          <w:szCs w:val="28"/>
          <w:lang w:val="uk-UA"/>
        </w:rPr>
        <w:t>Податково-бюджетна політика</w:t>
      </w:r>
      <w:r w:rsidRPr="0028609F">
        <w:rPr>
          <w:b/>
          <w:bCs/>
          <w:i/>
          <w:sz w:val="28"/>
          <w:szCs w:val="28"/>
          <w:lang w:val="uk-UA"/>
        </w:rPr>
        <w:tab/>
      </w:r>
    </w:p>
    <w:p w:rsidR="007B5FC8" w:rsidRPr="007B5FC8" w:rsidRDefault="007B5FC8" w:rsidP="007B5FC8">
      <w:pPr>
        <w:pStyle w:val="af1"/>
        <w:tabs>
          <w:tab w:val="left" w:pos="708"/>
          <w:tab w:val="left" w:pos="1416"/>
          <w:tab w:val="left" w:pos="2124"/>
          <w:tab w:val="left" w:pos="2832"/>
          <w:tab w:val="left" w:pos="3540"/>
          <w:tab w:val="left" w:pos="4248"/>
          <w:tab w:val="left" w:pos="4956"/>
          <w:tab w:val="left" w:pos="5833"/>
        </w:tabs>
        <w:ind w:left="1065"/>
        <w:jc w:val="both"/>
        <w:rPr>
          <w:bCs/>
          <w:i/>
          <w:sz w:val="28"/>
          <w:szCs w:val="28"/>
          <w:highlight w:val="yellow"/>
          <w:lang w:val="uk-UA"/>
        </w:rPr>
      </w:pPr>
    </w:p>
    <w:p w:rsidR="00B27A92" w:rsidRDefault="00B27A92" w:rsidP="00EA2DDF">
      <w:pPr>
        <w:widowControl w:val="0"/>
        <w:ind w:firstLine="709"/>
        <w:jc w:val="both"/>
        <w:rPr>
          <w:rFonts w:eastAsia="Lucida Sans Unicode" w:cs="Times New Roman"/>
          <w:lang w:val="uk-UA"/>
        </w:rPr>
      </w:pPr>
      <w:r w:rsidRPr="00B27A92">
        <w:rPr>
          <w:rFonts w:eastAsia="Lucida Sans Unicode" w:cs="Times New Roman"/>
          <w:lang w:val="uk-UA"/>
        </w:rPr>
        <w:t>За 2019 рік міський бюджет в цілому по надходженнях загального та спеціального фонду виконано до річного плану на 92,9 відсотка (при плані на piк із врахуванням змін в сумі 3 048</w:t>
      </w:r>
      <w:r w:rsidR="0080506C">
        <w:rPr>
          <w:rFonts w:eastAsia="Lucida Sans Unicode" w:cs="Times New Roman"/>
          <w:lang w:val="uk-UA"/>
        </w:rPr>
        <w:t>,</w:t>
      </w:r>
      <w:r w:rsidRPr="00B27A92">
        <w:rPr>
          <w:rFonts w:eastAsia="Lucida Sans Unicode" w:cs="Times New Roman"/>
          <w:lang w:val="uk-UA"/>
        </w:rPr>
        <w:t>6</w:t>
      </w:r>
      <w:r w:rsidRPr="00B27A92">
        <w:rPr>
          <w:rFonts w:eastAsia="Lucida Sans Unicode" w:cs="Times New Roman"/>
          <w:bCs/>
          <w:lang w:val="uk-UA"/>
        </w:rPr>
        <w:t xml:space="preserve"> </w:t>
      </w:r>
      <w:r w:rsidR="0080506C">
        <w:rPr>
          <w:rFonts w:eastAsia="Lucida Sans Unicode" w:cs="Times New Roman"/>
          <w:bCs/>
          <w:lang w:val="uk-UA"/>
        </w:rPr>
        <w:t xml:space="preserve">млн </w:t>
      </w:r>
      <w:r w:rsidRPr="00B27A92">
        <w:rPr>
          <w:rFonts w:eastAsia="Lucida Sans Unicode" w:cs="Times New Roman"/>
          <w:lang w:val="uk-UA"/>
        </w:rPr>
        <w:t>грн фактично надійшло 2 833</w:t>
      </w:r>
      <w:r w:rsidR="0080506C">
        <w:rPr>
          <w:rFonts w:eastAsia="Lucida Sans Unicode" w:cs="Times New Roman"/>
          <w:lang w:val="uk-UA"/>
        </w:rPr>
        <w:t>,</w:t>
      </w:r>
      <w:r w:rsidRPr="00B27A92">
        <w:rPr>
          <w:rFonts w:eastAsia="Lucida Sans Unicode" w:cs="Times New Roman"/>
          <w:lang w:val="uk-UA"/>
        </w:rPr>
        <w:t xml:space="preserve">4 </w:t>
      </w:r>
      <w:r w:rsidR="0080506C">
        <w:rPr>
          <w:rFonts w:eastAsia="Lucida Sans Unicode" w:cs="Times New Roman"/>
          <w:bCs/>
          <w:lang w:val="uk-UA"/>
        </w:rPr>
        <w:t xml:space="preserve">млн </w:t>
      </w:r>
      <w:r w:rsidRPr="00B27A92">
        <w:rPr>
          <w:rFonts w:eastAsia="Lucida Sans Unicode" w:cs="Times New Roman"/>
          <w:lang w:val="uk-UA"/>
        </w:rPr>
        <w:lastRenderedPageBreak/>
        <w:t>грн, що на 31</w:t>
      </w:r>
      <w:r w:rsidR="0080506C">
        <w:rPr>
          <w:rFonts w:eastAsia="Lucida Sans Unicode" w:cs="Times New Roman"/>
          <w:lang w:val="uk-UA"/>
        </w:rPr>
        <w:t>,2</w:t>
      </w:r>
      <w:r w:rsidRPr="00B27A92">
        <w:rPr>
          <w:rFonts w:eastAsia="Lucida Sans Unicode" w:cs="Times New Roman"/>
          <w:b/>
          <w:bCs/>
          <w:lang w:val="uk-UA"/>
        </w:rPr>
        <w:t xml:space="preserve"> </w:t>
      </w:r>
      <w:r w:rsidR="0080506C" w:rsidRPr="0080506C">
        <w:rPr>
          <w:rFonts w:eastAsia="Lucida Sans Unicode" w:cs="Times New Roman"/>
          <w:bCs/>
          <w:lang w:val="uk-UA"/>
        </w:rPr>
        <w:t>млн</w:t>
      </w:r>
      <w:r w:rsidR="0080506C">
        <w:rPr>
          <w:rFonts w:eastAsia="Lucida Sans Unicode" w:cs="Times New Roman"/>
          <w:b/>
          <w:bCs/>
          <w:lang w:val="uk-UA"/>
        </w:rPr>
        <w:t xml:space="preserve"> </w:t>
      </w:r>
      <w:r w:rsidR="0080506C">
        <w:rPr>
          <w:rFonts w:eastAsia="Lucida Sans Unicode" w:cs="Times New Roman"/>
          <w:lang w:val="uk-UA"/>
        </w:rPr>
        <w:t>грн</w:t>
      </w:r>
      <w:r w:rsidRPr="00B27A92">
        <w:rPr>
          <w:rFonts w:eastAsia="Lucida Sans Unicode" w:cs="Times New Roman"/>
          <w:lang w:val="uk-UA"/>
        </w:rPr>
        <w:t xml:space="preserve"> більше, ніж у минуло</w:t>
      </w:r>
      <w:r w:rsidR="00AB2017">
        <w:rPr>
          <w:rFonts w:eastAsia="Lucida Sans Unicode" w:cs="Times New Roman"/>
          <w:lang w:val="uk-UA"/>
        </w:rPr>
        <w:t>му</w:t>
      </w:r>
      <w:r w:rsidRPr="00B27A92">
        <w:rPr>
          <w:rFonts w:eastAsia="Lucida Sans Unicode" w:cs="Times New Roman"/>
          <w:lang w:val="uk-UA"/>
        </w:rPr>
        <w:t xml:space="preserve"> ро</w:t>
      </w:r>
      <w:r w:rsidR="00AB2017">
        <w:rPr>
          <w:rFonts w:eastAsia="Lucida Sans Unicode" w:cs="Times New Roman"/>
          <w:lang w:val="uk-UA"/>
        </w:rPr>
        <w:t>ці</w:t>
      </w:r>
      <w:r w:rsidRPr="00B27A92">
        <w:rPr>
          <w:rFonts w:eastAsia="Lucida Sans Unicode" w:cs="Times New Roman"/>
          <w:lang w:val="uk-UA"/>
        </w:rPr>
        <w:t xml:space="preserve">). </w:t>
      </w:r>
    </w:p>
    <w:p w:rsidR="00B27A92" w:rsidRDefault="00B27A92" w:rsidP="00EF65C3">
      <w:pPr>
        <w:widowControl w:val="0"/>
        <w:spacing w:line="276" w:lineRule="auto"/>
        <w:jc w:val="both"/>
        <w:rPr>
          <w:rFonts w:eastAsia="Lucida Sans Unicode" w:cs="Times New Roman"/>
          <w:lang w:val="uk-UA"/>
        </w:rPr>
      </w:pPr>
      <w:r>
        <w:rPr>
          <w:noProof/>
          <w:lang w:val="uk-UA" w:eastAsia="uk-UA"/>
        </w:rPr>
        <mc:AlternateContent>
          <mc:Choice Requires="wps">
            <w:drawing>
              <wp:anchor distT="0" distB="0" distL="114300" distR="114300" simplePos="0" relativeHeight="251667456" behindDoc="0" locked="0" layoutInCell="1" allowOverlap="1" wp14:anchorId="31241041" wp14:editId="4F906488">
                <wp:simplePos x="0" y="0"/>
                <wp:positionH relativeFrom="column">
                  <wp:posOffset>101600</wp:posOffset>
                </wp:positionH>
                <wp:positionV relativeFrom="paragraph">
                  <wp:posOffset>378460</wp:posOffset>
                </wp:positionV>
                <wp:extent cx="1743075" cy="1247775"/>
                <wp:effectExtent l="0" t="19050" r="47625" b="47625"/>
                <wp:wrapNone/>
                <wp:docPr id="17" name="Стрелка вправо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43075" cy="1247775"/>
                        </a:xfrm>
                        <a:prstGeom prst="rightArrow">
                          <a:avLst/>
                        </a:prstGeom>
                        <a:solidFill>
                          <a:srgbClr val="70AD47">
                            <a:lumMod val="40000"/>
                            <a:lumOff val="60000"/>
                          </a:srgbClr>
                        </a:solidFill>
                        <a:ln w="12700" cap="flat" cmpd="sng" algn="ctr">
                          <a:solidFill>
                            <a:srgbClr val="70AD47">
                              <a:lumMod val="75000"/>
                            </a:srgbClr>
                          </a:solidFill>
                          <a:prstDash val="solid"/>
                          <a:miter lim="800000"/>
                        </a:ln>
                        <a:effectLst/>
                      </wps:spPr>
                      <wps:txbx>
                        <w:txbxContent>
                          <w:p w:rsidR="00A73882" w:rsidRDefault="00A73882" w:rsidP="00B27A92">
                            <w:pPr>
                              <w:spacing w:line="240" w:lineRule="atLeast"/>
                              <w:jc w:val="center"/>
                              <w:rPr>
                                <w:b/>
                                <w:color w:val="000000"/>
                                <w:sz w:val="22"/>
                                <w:szCs w:val="22"/>
                                <w:lang w:val="uk-UA"/>
                              </w:rPr>
                            </w:pPr>
                            <w:r w:rsidRPr="00EF65C3">
                              <w:rPr>
                                <w:b/>
                                <w:color w:val="000000"/>
                                <w:sz w:val="22"/>
                                <w:szCs w:val="22"/>
                                <w:lang w:val="uk-UA"/>
                              </w:rPr>
                              <w:t xml:space="preserve">Офіційні трансферти </w:t>
                            </w:r>
                          </w:p>
                          <w:p w:rsidR="00A73882" w:rsidRPr="00EF65C3" w:rsidRDefault="00A73882" w:rsidP="00B27A92">
                            <w:pPr>
                              <w:spacing w:line="240" w:lineRule="atLeast"/>
                              <w:jc w:val="center"/>
                              <w:rPr>
                                <w:b/>
                                <w:color w:val="000000"/>
                                <w:sz w:val="22"/>
                                <w:szCs w:val="22"/>
                                <w:lang w:val="uk-UA"/>
                              </w:rPr>
                            </w:pPr>
                            <w:r w:rsidRPr="00EF65C3">
                              <w:rPr>
                                <w:b/>
                                <w:color w:val="000000"/>
                                <w:sz w:val="22"/>
                                <w:szCs w:val="22"/>
                                <w:lang w:val="uk-UA"/>
                              </w:rPr>
                              <w:t>1 003,9 млн.грн.</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1241041"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Стрелка вправо 8" o:spid="_x0000_s1026" type="#_x0000_t13" style="position:absolute;left:0;text-align:left;margin-left:8pt;margin-top:29.8pt;width:137.25pt;height:98.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" adj="13869" fillcolor="#c5e0b4" strokecolor="#548235" strokeweight="1pt">
                <v:path arrowok="t"/>
                <v:textbox>
                  <w:txbxContent>
                    <w:p w:rsidR="00A73882" w:rsidRDefault="00A73882" w:rsidP="00B27A92">
                      <w:pPr>
                        <w:spacing w:line="240" w:lineRule="atLeast"/>
                        <w:jc w:val="center"/>
                        <w:rPr>
                          <w:b/>
                          <w:color w:val="000000"/>
                          <w:sz w:val="22"/>
                          <w:szCs w:val="22"/>
                          <w:lang w:val="uk-UA"/>
                        </w:rPr>
                      </w:pPr>
                      <w:r w:rsidRPr="00EF65C3">
                        <w:rPr>
                          <w:b/>
                          <w:color w:val="000000"/>
                          <w:sz w:val="22"/>
                          <w:szCs w:val="22"/>
                          <w:lang w:val="uk-UA"/>
                        </w:rPr>
                        <w:t xml:space="preserve">Офіційні трансферти </w:t>
                      </w:r>
                    </w:p>
                    <w:p w:rsidR="00A73882" w:rsidRPr="00EF65C3" w:rsidRDefault="00A73882" w:rsidP="00B27A92">
                      <w:pPr>
                        <w:spacing w:line="240" w:lineRule="atLeast"/>
                        <w:jc w:val="center"/>
                        <w:rPr>
                          <w:b/>
                          <w:color w:val="000000"/>
                          <w:sz w:val="22"/>
                          <w:szCs w:val="22"/>
                          <w:lang w:val="uk-UA"/>
                        </w:rPr>
                      </w:pPr>
                      <w:r w:rsidRPr="00EF65C3">
                        <w:rPr>
                          <w:b/>
                          <w:color w:val="000000"/>
                          <w:sz w:val="22"/>
                          <w:szCs w:val="22"/>
                          <w:lang w:val="uk-UA"/>
                        </w:rPr>
                        <w:t>1 003,9 млн.грн.</w:t>
                      </w:r>
                    </w:p>
                  </w:txbxContent>
                </v:textbox>
              </v:shape>
            </w:pict>
          </mc:Fallback>
        </mc:AlternateContent>
      </w:r>
      <w:r>
        <w:rPr>
          <w:rFonts w:eastAsia="Lucida Sans Unicode" w:cs="Times New Roman"/>
          <w:noProof/>
          <w:lang w:val="uk-UA" w:eastAsia="uk-UA"/>
        </w:rPr>
        <w:drawing>
          <wp:inline distT="0" distB="0" distL="0" distR="0" wp14:anchorId="3AAEBCF5" wp14:editId="5C93CCA8">
            <wp:extent cx="5314950" cy="297180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18362" cy="2973708"/>
                    </a:xfrm>
                    <a:prstGeom prst="rect">
                      <a:avLst/>
                    </a:prstGeom>
                    <a:noFill/>
                  </pic:spPr>
                </pic:pic>
              </a:graphicData>
            </a:graphic>
          </wp:inline>
        </w:drawing>
      </w:r>
    </w:p>
    <w:p w:rsidR="00B27A92" w:rsidRPr="00B27A92" w:rsidRDefault="00B27A92" w:rsidP="00EA2DDF">
      <w:pPr>
        <w:widowControl w:val="0"/>
        <w:ind w:firstLine="709"/>
        <w:jc w:val="both"/>
        <w:rPr>
          <w:rFonts w:eastAsia="Lucida Sans Unicode" w:cs="Times New Roman"/>
          <w:lang w:val="uk-UA"/>
        </w:rPr>
      </w:pPr>
      <w:r w:rsidRPr="00B27A92">
        <w:rPr>
          <w:rFonts w:eastAsia="Lucida Sans Unicode" w:cs="Times New Roman"/>
          <w:lang w:val="uk-UA"/>
        </w:rPr>
        <w:t>Загальний фонд із врахуванням трансфертів до уточнених річних планових показників виконано на 91,1 відсотка, при плані на рік з урахуванням змін в cумi 2 919</w:t>
      </w:r>
      <w:r w:rsidR="00AB2017">
        <w:rPr>
          <w:rFonts w:eastAsia="Lucida Sans Unicode" w:cs="Times New Roman"/>
          <w:lang w:val="uk-UA"/>
        </w:rPr>
        <w:t>,</w:t>
      </w:r>
      <w:r w:rsidRPr="00B27A92">
        <w:rPr>
          <w:rFonts w:eastAsia="Lucida Sans Unicode" w:cs="Times New Roman"/>
          <w:lang w:val="uk-UA"/>
        </w:rPr>
        <w:t xml:space="preserve">4 </w:t>
      </w:r>
      <w:r w:rsidR="00AB2017">
        <w:rPr>
          <w:rFonts w:eastAsia="Lucida Sans Unicode" w:cs="Times New Roman"/>
          <w:lang w:val="uk-UA"/>
        </w:rPr>
        <w:t xml:space="preserve">млн </w:t>
      </w:r>
      <w:r w:rsidRPr="00B27A92">
        <w:rPr>
          <w:rFonts w:eastAsia="Lucida Sans Unicode" w:cs="Times New Roman"/>
          <w:lang w:val="uk-UA"/>
        </w:rPr>
        <w:t>грн фактично надійшло 2 660</w:t>
      </w:r>
      <w:r w:rsidR="00AB2017">
        <w:rPr>
          <w:rFonts w:eastAsia="Lucida Sans Unicode" w:cs="Times New Roman"/>
          <w:lang w:val="uk-UA"/>
        </w:rPr>
        <w:t>,5</w:t>
      </w:r>
      <w:r w:rsidRPr="00B27A92">
        <w:rPr>
          <w:rFonts w:eastAsia="Lucida Sans Unicode" w:cs="Times New Roman"/>
          <w:lang w:val="uk-UA"/>
        </w:rPr>
        <w:t xml:space="preserve"> </w:t>
      </w:r>
      <w:r w:rsidR="00AB2017">
        <w:rPr>
          <w:rFonts w:eastAsia="Lucida Sans Unicode" w:cs="Times New Roman"/>
          <w:lang w:val="uk-UA"/>
        </w:rPr>
        <w:t xml:space="preserve">млн </w:t>
      </w:r>
      <w:r w:rsidRPr="00B27A92">
        <w:rPr>
          <w:rFonts w:eastAsia="Lucida Sans Unicode" w:cs="Times New Roman"/>
          <w:lang w:val="uk-UA"/>
        </w:rPr>
        <w:t>грн, що на 12</w:t>
      </w:r>
      <w:r w:rsidR="00AB2017">
        <w:rPr>
          <w:rFonts w:eastAsia="Lucida Sans Unicode" w:cs="Times New Roman"/>
          <w:lang w:val="uk-UA"/>
        </w:rPr>
        <w:t>,8</w:t>
      </w:r>
      <w:r w:rsidRPr="00B27A92">
        <w:rPr>
          <w:rFonts w:eastAsia="Lucida Sans Unicode" w:cs="Times New Roman"/>
          <w:lang w:val="uk-UA"/>
        </w:rPr>
        <w:t xml:space="preserve"> </w:t>
      </w:r>
      <w:r w:rsidR="00AB2017">
        <w:rPr>
          <w:rFonts w:eastAsia="Lucida Sans Unicode" w:cs="Times New Roman"/>
          <w:lang w:val="uk-UA"/>
        </w:rPr>
        <w:t xml:space="preserve">млн </w:t>
      </w:r>
      <w:r w:rsidRPr="00B27A92">
        <w:rPr>
          <w:rFonts w:eastAsia="Lucida Sans Unicode" w:cs="Times New Roman"/>
          <w:lang w:val="uk-UA"/>
        </w:rPr>
        <w:t>грн більше від надходжень за минул</w:t>
      </w:r>
      <w:r w:rsidR="00AB2017">
        <w:rPr>
          <w:rFonts w:eastAsia="Lucida Sans Unicode" w:cs="Times New Roman"/>
          <w:lang w:val="uk-UA"/>
        </w:rPr>
        <w:t>ий</w:t>
      </w:r>
      <w:r w:rsidRPr="00B27A92">
        <w:rPr>
          <w:rFonts w:eastAsia="Lucida Sans Unicode" w:cs="Times New Roman"/>
          <w:lang w:val="uk-UA"/>
        </w:rPr>
        <w:t xml:space="preserve"> р</w:t>
      </w:r>
      <w:r w:rsidR="00AB2017">
        <w:rPr>
          <w:rFonts w:eastAsia="Lucida Sans Unicode" w:cs="Times New Roman"/>
          <w:lang w:val="uk-UA"/>
        </w:rPr>
        <w:t>і</w:t>
      </w:r>
      <w:r w:rsidRPr="00B27A92">
        <w:rPr>
          <w:rFonts w:eastAsia="Lucida Sans Unicode" w:cs="Times New Roman"/>
          <w:lang w:val="uk-UA"/>
        </w:rPr>
        <w:t>к.</w:t>
      </w:r>
    </w:p>
    <w:p w:rsidR="00B27A92" w:rsidRPr="00B27A92" w:rsidRDefault="00B27A92" w:rsidP="00EA2DDF">
      <w:pPr>
        <w:widowControl w:val="0"/>
        <w:autoSpaceDE w:val="0"/>
        <w:autoSpaceDN w:val="0"/>
        <w:adjustRightInd w:val="0"/>
        <w:ind w:firstLine="709"/>
        <w:jc w:val="both"/>
        <w:rPr>
          <w:rFonts w:eastAsia="Lucida Sans Unicode" w:cs="Times New Roman"/>
          <w:lang w:val="uk-UA"/>
        </w:rPr>
      </w:pPr>
      <w:r w:rsidRPr="00B27A92">
        <w:rPr>
          <w:rFonts w:eastAsia="Lucida Sans Unicode" w:cs="Times New Roman"/>
          <w:lang w:val="uk-UA"/>
        </w:rPr>
        <w:t>Спеціальний фонд із врахуванням трансфертів до річних планових показників виконано на 133,9 відсотка, при плані на рік із врахуванням змін в cумi 129</w:t>
      </w:r>
      <w:r w:rsidR="00AB2017">
        <w:rPr>
          <w:rFonts w:eastAsia="Lucida Sans Unicode" w:cs="Times New Roman"/>
          <w:lang w:val="uk-UA"/>
        </w:rPr>
        <w:t>,2</w:t>
      </w:r>
      <w:r w:rsidRPr="00B27A92">
        <w:rPr>
          <w:rFonts w:eastAsia="Lucida Sans Unicode" w:cs="Times New Roman"/>
          <w:lang w:val="uk-UA"/>
        </w:rPr>
        <w:t xml:space="preserve"> </w:t>
      </w:r>
      <w:r w:rsidR="00AB2017">
        <w:rPr>
          <w:rFonts w:eastAsia="Lucida Sans Unicode" w:cs="Times New Roman"/>
          <w:lang w:val="uk-UA"/>
        </w:rPr>
        <w:t>млн грн</w:t>
      </w:r>
      <w:r w:rsidRPr="00B27A92">
        <w:rPr>
          <w:rFonts w:eastAsia="Lucida Sans Unicode" w:cs="Times New Roman"/>
          <w:lang w:val="uk-UA"/>
        </w:rPr>
        <w:t xml:space="preserve"> фактично надійшло 172</w:t>
      </w:r>
      <w:r w:rsidR="00AB2017">
        <w:rPr>
          <w:rFonts w:eastAsia="Lucida Sans Unicode" w:cs="Times New Roman"/>
          <w:lang w:val="uk-UA"/>
        </w:rPr>
        <w:t>,</w:t>
      </w:r>
      <w:r w:rsidRPr="00B27A92">
        <w:rPr>
          <w:rFonts w:eastAsia="Lucida Sans Unicode" w:cs="Times New Roman"/>
          <w:lang w:val="uk-UA"/>
        </w:rPr>
        <w:t xml:space="preserve">9 </w:t>
      </w:r>
      <w:r w:rsidR="00AB2017">
        <w:rPr>
          <w:rFonts w:eastAsia="Lucida Sans Unicode" w:cs="Times New Roman"/>
          <w:lang w:val="uk-UA"/>
        </w:rPr>
        <w:t xml:space="preserve">млн </w:t>
      </w:r>
      <w:r w:rsidRPr="00B27A92">
        <w:rPr>
          <w:rFonts w:eastAsia="Lucida Sans Unicode" w:cs="Times New Roman"/>
          <w:lang w:val="uk-UA"/>
        </w:rPr>
        <w:t xml:space="preserve">грн, </w:t>
      </w:r>
      <w:r w:rsidR="00AB2017">
        <w:rPr>
          <w:rFonts w:eastAsia="Lucida Sans Unicode" w:cs="Times New Roman"/>
          <w:lang w:val="uk-UA"/>
        </w:rPr>
        <w:t>проте це</w:t>
      </w:r>
      <w:r w:rsidRPr="00B27A92">
        <w:rPr>
          <w:rFonts w:eastAsia="Lucida Sans Unicode" w:cs="Times New Roman"/>
          <w:lang w:val="uk-UA"/>
        </w:rPr>
        <w:t xml:space="preserve"> на 43</w:t>
      </w:r>
      <w:r w:rsidR="00AB2017">
        <w:rPr>
          <w:rFonts w:eastAsia="Lucida Sans Unicode" w:cs="Times New Roman"/>
          <w:lang w:val="uk-UA"/>
        </w:rPr>
        <w:t>,8</w:t>
      </w:r>
      <w:r w:rsidRPr="00B27A92">
        <w:rPr>
          <w:rFonts w:eastAsia="Lucida Sans Unicode" w:cs="Times New Roman"/>
          <w:lang w:val="uk-UA"/>
        </w:rPr>
        <w:t xml:space="preserve"> </w:t>
      </w:r>
      <w:r w:rsidR="00AB2017">
        <w:rPr>
          <w:rFonts w:eastAsia="Lucida Sans Unicode" w:cs="Times New Roman"/>
          <w:lang w:val="uk-UA"/>
        </w:rPr>
        <w:t xml:space="preserve">млн </w:t>
      </w:r>
      <w:r w:rsidRPr="00B27A92">
        <w:rPr>
          <w:rFonts w:eastAsia="Lucida Sans Unicode" w:cs="Times New Roman"/>
          <w:lang w:val="uk-UA"/>
        </w:rPr>
        <w:t>грн менше від надходжень минулого року.</w:t>
      </w:r>
    </w:p>
    <w:p w:rsidR="00B27A92" w:rsidRDefault="00B27A92" w:rsidP="00EA2DDF">
      <w:pPr>
        <w:widowControl w:val="0"/>
        <w:autoSpaceDE w:val="0"/>
        <w:autoSpaceDN w:val="0"/>
        <w:adjustRightInd w:val="0"/>
        <w:ind w:firstLine="709"/>
        <w:jc w:val="both"/>
        <w:rPr>
          <w:rFonts w:cs="Times New Roman"/>
          <w:lang w:val="uk-UA"/>
        </w:rPr>
      </w:pPr>
      <w:r w:rsidRPr="00B27A92">
        <w:rPr>
          <w:rFonts w:cs="Times New Roman"/>
          <w:lang w:val="uk-UA"/>
        </w:rPr>
        <w:t>Субвенцій з Державного, обласного та інших бюджетів надійшло 1 003</w:t>
      </w:r>
      <w:r w:rsidR="00AB2017">
        <w:rPr>
          <w:rFonts w:cs="Times New Roman"/>
          <w:lang w:val="uk-UA"/>
        </w:rPr>
        <w:t>,</w:t>
      </w:r>
      <w:r w:rsidRPr="00B27A92">
        <w:rPr>
          <w:rFonts w:cs="Times New Roman"/>
          <w:lang w:val="uk-UA"/>
        </w:rPr>
        <w:t xml:space="preserve">9 </w:t>
      </w:r>
      <w:r w:rsidR="00AB2017">
        <w:rPr>
          <w:rFonts w:cs="Times New Roman"/>
          <w:lang w:val="uk-UA"/>
        </w:rPr>
        <w:t xml:space="preserve">млн </w:t>
      </w:r>
      <w:r w:rsidRPr="00B27A92">
        <w:rPr>
          <w:rFonts w:cs="Times New Roman"/>
          <w:lang w:val="uk-UA"/>
        </w:rPr>
        <w:t>грн, при плані на рік з урахуванням змін 1 010</w:t>
      </w:r>
      <w:r w:rsidR="00AB2017">
        <w:rPr>
          <w:rFonts w:cs="Times New Roman"/>
          <w:lang w:val="uk-UA"/>
        </w:rPr>
        <w:t>,1</w:t>
      </w:r>
      <w:r w:rsidRPr="00B27A92">
        <w:rPr>
          <w:rFonts w:cs="Times New Roman"/>
          <w:lang w:val="uk-UA"/>
        </w:rPr>
        <w:t xml:space="preserve">  </w:t>
      </w:r>
      <w:r w:rsidR="00AB2017">
        <w:rPr>
          <w:rFonts w:cs="Times New Roman"/>
          <w:lang w:val="uk-UA"/>
        </w:rPr>
        <w:t xml:space="preserve">млн </w:t>
      </w:r>
      <w:r w:rsidRPr="00B27A92">
        <w:rPr>
          <w:rFonts w:cs="Times New Roman"/>
          <w:lang w:val="uk-UA"/>
        </w:rPr>
        <w:t xml:space="preserve">грн, що становить 99,4 відсотка. </w:t>
      </w:r>
    </w:p>
    <w:p w:rsidR="00EA2DDF" w:rsidRDefault="00EA2DDF" w:rsidP="00EA2DDF">
      <w:pPr>
        <w:widowControl w:val="0"/>
        <w:autoSpaceDE w:val="0"/>
        <w:autoSpaceDN w:val="0"/>
        <w:adjustRightInd w:val="0"/>
        <w:jc w:val="both"/>
        <w:rPr>
          <w:rFonts w:cs="Times New Roman"/>
          <w:lang w:val="uk-UA"/>
        </w:rPr>
      </w:pPr>
      <w:r>
        <w:rPr>
          <w:b/>
          <w:i/>
          <w:noProof/>
          <w:sz w:val="32"/>
          <w:szCs w:val="20"/>
          <w:lang w:val="uk-UA" w:eastAsia="uk-UA"/>
        </w:rPr>
        <mc:AlternateContent>
          <mc:Choice Requires="wps">
            <w:drawing>
              <wp:anchor distT="0" distB="0" distL="114300" distR="114300" simplePos="0" relativeHeight="251669504" behindDoc="0" locked="0" layoutInCell="1" allowOverlap="1" wp14:anchorId="20ADF93E" wp14:editId="4D3F86B4">
                <wp:simplePos x="0" y="0"/>
                <wp:positionH relativeFrom="column">
                  <wp:posOffset>2410461</wp:posOffset>
                </wp:positionH>
                <wp:positionV relativeFrom="paragraph">
                  <wp:posOffset>925195</wp:posOffset>
                </wp:positionV>
                <wp:extent cx="1371600" cy="802640"/>
                <wp:effectExtent l="38100" t="114300" r="0" b="73660"/>
                <wp:wrapNone/>
                <wp:docPr id="18" name="Стрелка вправо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20165437">
                          <a:off x="0" y="0"/>
                          <a:ext cx="1371600" cy="802640"/>
                        </a:xfrm>
                        <a:prstGeom prst="rightArrow">
                          <a:avLst/>
                        </a:prstGeom>
                        <a:solidFill>
                          <a:srgbClr val="5B9BD5"/>
                        </a:solidFill>
                        <a:ln w="12700" cap="flat" cmpd="sng" algn="ctr">
                          <a:solidFill>
                            <a:srgbClr val="5B9BD5">
                              <a:shade val="50000"/>
                            </a:srgbClr>
                          </a:solidFill>
                          <a:prstDash val="solid"/>
                          <a:miter lim="800000"/>
                        </a:ln>
                        <a:effectLst/>
                      </wps:spPr>
                      <wps:txbx>
                        <w:txbxContent>
                          <w:p w:rsidR="00A73882" w:rsidRPr="00642B7F" w:rsidRDefault="00A73882" w:rsidP="00EA2DDF">
                            <w:pPr>
                              <w:jc w:val="center"/>
                              <w:rPr>
                                <w:color w:val="000000"/>
                                <w:sz w:val="22"/>
                                <w:szCs w:val="22"/>
                                <w:lang w:val="uk-UA"/>
                              </w:rPr>
                            </w:pPr>
                            <w:r w:rsidRPr="00642B7F">
                              <w:rPr>
                                <w:color w:val="000000"/>
                                <w:sz w:val="22"/>
                                <w:szCs w:val="22"/>
                                <w:lang w:val="uk-UA"/>
                              </w:rPr>
                              <w:t xml:space="preserve">+ </w:t>
                            </w:r>
                            <w:r>
                              <w:rPr>
                                <w:color w:val="000000"/>
                                <w:sz w:val="22"/>
                                <w:szCs w:val="22"/>
                                <w:lang w:val="uk-UA"/>
                              </w:rPr>
                              <w:t>247,0 тис.</w:t>
                            </w:r>
                            <w:r w:rsidRPr="00642B7F">
                              <w:rPr>
                                <w:color w:val="000000"/>
                                <w:sz w:val="22"/>
                                <w:szCs w:val="22"/>
                                <w:lang w:val="uk-UA"/>
                              </w:rPr>
                              <w:t xml:space="preserve">грн.  </w:t>
                            </w:r>
                          </w:p>
                          <w:p w:rsidR="00A73882" w:rsidRPr="00642B7F" w:rsidRDefault="00A73882" w:rsidP="00EA2DDF">
                            <w:pPr>
                              <w:jc w:val="center"/>
                              <w:rPr>
                                <w:color w:val="000000"/>
                                <w:sz w:val="22"/>
                                <w:szCs w:val="22"/>
                                <w:lang w:val="uk-UA"/>
                              </w:rPr>
                            </w:pPr>
                            <w:r>
                              <w:rPr>
                                <w:color w:val="000000"/>
                                <w:sz w:val="22"/>
                                <w:szCs w:val="22"/>
                                <w:lang w:val="uk-UA"/>
                              </w:rPr>
                              <w:t>або + 17,3</w:t>
                            </w:r>
                            <w:r w:rsidRPr="00642B7F">
                              <w:rPr>
                                <w:color w:val="000000"/>
                                <w:sz w:val="22"/>
                                <w:szCs w:val="22"/>
                                <w:lang w:val="uk-UA"/>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ADF93E" id="Стрелка вправо 12" o:spid="_x0000_s1027" type="#_x0000_t13" style="position:absolute;left:0;text-align:left;margin-left:189.8pt;margin-top:72.85pt;width:108pt;height:63.2pt;rotation:-1566925fd;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" adj="15280" fillcolor="#5b9bd5" strokecolor="#41719c" strokeweight="1pt">
                <v:path arrowok="t"/>
                <v:textbox>
                  <w:txbxContent>
                    <w:p w:rsidR="00A73882" w:rsidRPr="00642B7F" w:rsidRDefault="00A73882" w:rsidP="00EA2DDF">
                      <w:pPr>
                        <w:jc w:val="center"/>
                        <w:rPr>
                          <w:color w:val="000000"/>
                          <w:sz w:val="22"/>
                          <w:szCs w:val="22"/>
                          <w:lang w:val="uk-UA"/>
                        </w:rPr>
                      </w:pPr>
                      <w:r w:rsidRPr="00642B7F">
                        <w:rPr>
                          <w:color w:val="000000"/>
                          <w:sz w:val="22"/>
                          <w:szCs w:val="22"/>
                          <w:lang w:val="uk-UA"/>
                        </w:rPr>
                        <w:t xml:space="preserve">+ </w:t>
                      </w:r>
                      <w:r>
                        <w:rPr>
                          <w:color w:val="000000"/>
                          <w:sz w:val="22"/>
                          <w:szCs w:val="22"/>
                          <w:lang w:val="uk-UA"/>
                        </w:rPr>
                        <w:t>247,0 тис.</w:t>
                      </w:r>
                      <w:r w:rsidRPr="00642B7F">
                        <w:rPr>
                          <w:color w:val="000000"/>
                          <w:sz w:val="22"/>
                          <w:szCs w:val="22"/>
                          <w:lang w:val="uk-UA"/>
                        </w:rPr>
                        <w:t xml:space="preserve">грн.  </w:t>
                      </w:r>
                    </w:p>
                    <w:p w:rsidR="00A73882" w:rsidRPr="00642B7F" w:rsidRDefault="00A73882" w:rsidP="00EA2DDF">
                      <w:pPr>
                        <w:jc w:val="center"/>
                        <w:rPr>
                          <w:color w:val="000000"/>
                          <w:sz w:val="22"/>
                          <w:szCs w:val="22"/>
                          <w:lang w:val="uk-UA"/>
                        </w:rPr>
                      </w:pPr>
                      <w:r>
                        <w:rPr>
                          <w:color w:val="000000"/>
                          <w:sz w:val="22"/>
                          <w:szCs w:val="22"/>
                          <w:lang w:val="uk-UA"/>
                        </w:rPr>
                        <w:t>або + 17,3</w:t>
                      </w:r>
                      <w:r w:rsidRPr="00642B7F">
                        <w:rPr>
                          <w:color w:val="000000"/>
                          <w:sz w:val="22"/>
                          <w:szCs w:val="22"/>
                          <w:lang w:val="uk-UA"/>
                        </w:rPr>
                        <w:t xml:space="preserve"> %</w:t>
                      </w:r>
                    </w:p>
                  </w:txbxContent>
                </v:textbox>
              </v:shape>
            </w:pict>
          </mc:Fallback>
        </mc:AlternateContent>
      </w:r>
      <w:r>
        <w:rPr>
          <w:noProof/>
          <w:lang w:val="uk-UA" w:eastAsia="uk-UA"/>
        </w:rPr>
        <w:drawing>
          <wp:inline distT="0" distB="0" distL="0" distR="0" wp14:anchorId="640D15C2" wp14:editId="65089362">
            <wp:extent cx="5695949" cy="1970076"/>
            <wp:effectExtent l="0" t="0" r="635"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92299" cy="1968813"/>
                    </a:xfrm>
                    <a:prstGeom prst="rect">
                      <a:avLst/>
                    </a:prstGeom>
                    <a:noFill/>
                  </pic:spPr>
                </pic:pic>
              </a:graphicData>
            </a:graphic>
          </wp:inline>
        </w:drawing>
      </w:r>
    </w:p>
    <w:p w:rsidR="00EA2DDF" w:rsidRPr="00C32708" w:rsidRDefault="00EA2DDF" w:rsidP="00216AD2">
      <w:pPr>
        <w:ind w:firstLine="748"/>
        <w:jc w:val="both"/>
        <w:rPr>
          <w:lang w:val="uk-UA"/>
        </w:rPr>
      </w:pPr>
      <w:r w:rsidRPr="00C32708">
        <w:rPr>
          <w:lang w:val="uk-UA"/>
        </w:rPr>
        <w:t xml:space="preserve">У порівнянні з </w:t>
      </w:r>
      <w:r w:rsidR="00BA1EAC">
        <w:rPr>
          <w:lang w:val="uk-UA"/>
        </w:rPr>
        <w:t>попереднім</w:t>
      </w:r>
      <w:r w:rsidRPr="00C32708">
        <w:rPr>
          <w:lang w:val="uk-UA"/>
        </w:rPr>
        <w:t xml:space="preserve"> рок</w:t>
      </w:r>
      <w:r w:rsidR="00BA1EAC">
        <w:rPr>
          <w:lang w:val="uk-UA"/>
        </w:rPr>
        <w:t>ом</w:t>
      </w:r>
      <w:r w:rsidRPr="00C32708">
        <w:rPr>
          <w:lang w:val="uk-UA"/>
        </w:rPr>
        <w:t xml:space="preserve"> власні надходження загального фонду бюджету збільшилися на 247</w:t>
      </w:r>
      <w:r w:rsidR="00BA1EAC">
        <w:rPr>
          <w:lang w:val="uk-UA"/>
        </w:rPr>
        <w:t>,</w:t>
      </w:r>
      <w:r w:rsidRPr="00C32708">
        <w:rPr>
          <w:lang w:val="uk-UA"/>
        </w:rPr>
        <w:t xml:space="preserve">04 </w:t>
      </w:r>
      <w:r w:rsidR="00BA1EAC">
        <w:rPr>
          <w:lang w:val="uk-UA"/>
        </w:rPr>
        <w:t>млн грн</w:t>
      </w:r>
      <w:r w:rsidRPr="00C32708">
        <w:rPr>
          <w:lang w:val="uk-UA"/>
        </w:rPr>
        <w:t>, або на 17,3 відсотки.</w:t>
      </w:r>
    </w:p>
    <w:p w:rsidR="00216AD2" w:rsidRDefault="00216AD2" w:rsidP="00216AD2">
      <w:pPr>
        <w:ind w:firstLine="708"/>
        <w:jc w:val="both"/>
        <w:rPr>
          <w:color w:val="000000"/>
          <w:lang w:val="uk-UA"/>
        </w:rPr>
      </w:pPr>
      <w:r w:rsidRPr="00C32708">
        <w:rPr>
          <w:lang w:val="uk-UA" w:eastAsia="uk-UA"/>
        </w:rPr>
        <w:t xml:space="preserve">Найбільш вагомим джерелом </w:t>
      </w:r>
      <w:r w:rsidRPr="00C32708">
        <w:rPr>
          <w:color w:val="000000"/>
          <w:lang w:val="uk-UA"/>
        </w:rPr>
        <w:t>наповнення дохідної частини загального фонду бюджету міста Івано-Франківська за 2019 рік є податок на доходи фізичних осіб,</w:t>
      </w:r>
      <w:r w:rsidR="00BA1EAC">
        <w:rPr>
          <w:color w:val="000000"/>
          <w:lang w:val="uk-UA"/>
        </w:rPr>
        <w:t xml:space="preserve"> питома вага якого складає 66,4</w:t>
      </w:r>
      <w:r w:rsidRPr="00C32708">
        <w:rPr>
          <w:color w:val="000000"/>
          <w:lang w:val="uk-UA"/>
        </w:rPr>
        <w:t>% в обсязі власних доходів загального фонду бюджету.</w:t>
      </w:r>
    </w:p>
    <w:p w:rsidR="002B4FD3" w:rsidRDefault="00216AD2" w:rsidP="002B4FD3">
      <w:pPr>
        <w:tabs>
          <w:tab w:val="left" w:pos="709"/>
        </w:tabs>
        <w:ind w:firstLine="709"/>
        <w:jc w:val="both"/>
        <w:rPr>
          <w:lang w:val="uk-UA"/>
        </w:rPr>
      </w:pPr>
      <w:r w:rsidRPr="00C32708">
        <w:rPr>
          <w:noProof/>
          <w:lang w:val="uk-UA"/>
        </w:rPr>
        <w:t xml:space="preserve">Обсяг надходжень </w:t>
      </w:r>
      <w:r w:rsidRPr="00C32708">
        <w:rPr>
          <w:lang w:val="uk-UA"/>
        </w:rPr>
        <w:t>податку на доходи фізичних осіб до бюджету міста за 2019 рік у відрахуваннях склав 1 111</w:t>
      </w:r>
      <w:r>
        <w:rPr>
          <w:lang w:val="uk-UA"/>
        </w:rPr>
        <w:t xml:space="preserve">,4  млн </w:t>
      </w:r>
      <w:r w:rsidRPr="00C32708">
        <w:rPr>
          <w:lang w:val="uk-UA"/>
        </w:rPr>
        <w:t>грн, виконання планових показників станови</w:t>
      </w:r>
      <w:r w:rsidR="00BA1EAC">
        <w:rPr>
          <w:lang w:val="uk-UA"/>
        </w:rPr>
        <w:t>ло</w:t>
      </w:r>
      <w:r w:rsidRPr="00C32708">
        <w:rPr>
          <w:lang w:val="uk-UA"/>
        </w:rPr>
        <w:t xml:space="preserve"> 85,4%, недовиконано планові показники на 190</w:t>
      </w:r>
      <w:r>
        <w:rPr>
          <w:lang w:val="uk-UA"/>
        </w:rPr>
        <w:t xml:space="preserve">,3 млн </w:t>
      </w:r>
      <w:r w:rsidR="00BA1EAC">
        <w:rPr>
          <w:lang w:val="uk-UA"/>
        </w:rPr>
        <w:lastRenderedPageBreak/>
        <w:t xml:space="preserve">грн.. У порівнянні </w:t>
      </w:r>
      <w:r w:rsidRPr="00C32708">
        <w:rPr>
          <w:lang w:val="uk-UA"/>
        </w:rPr>
        <w:t xml:space="preserve">з </w:t>
      </w:r>
      <w:r w:rsidR="00BA1EAC">
        <w:rPr>
          <w:lang w:val="uk-UA"/>
        </w:rPr>
        <w:t>попереднім</w:t>
      </w:r>
      <w:r w:rsidRPr="00C32708">
        <w:rPr>
          <w:lang w:val="uk-UA"/>
        </w:rPr>
        <w:t xml:space="preserve"> рок</w:t>
      </w:r>
      <w:r w:rsidR="00BA1EAC">
        <w:rPr>
          <w:lang w:val="uk-UA"/>
        </w:rPr>
        <w:t>ом</w:t>
      </w:r>
      <w:r w:rsidRPr="00C32708">
        <w:rPr>
          <w:lang w:val="uk-UA"/>
        </w:rPr>
        <w:t xml:space="preserve"> </w:t>
      </w:r>
      <w:r w:rsidR="00BA1EAC">
        <w:rPr>
          <w:lang w:val="uk-UA"/>
        </w:rPr>
        <w:t xml:space="preserve">надходження ПДФО збільшилися </w:t>
      </w:r>
      <w:r w:rsidRPr="00C32708">
        <w:rPr>
          <w:lang w:val="uk-UA"/>
        </w:rPr>
        <w:t>на 200</w:t>
      </w:r>
      <w:r>
        <w:rPr>
          <w:lang w:val="uk-UA"/>
        </w:rPr>
        <w:t>,</w:t>
      </w:r>
      <w:r w:rsidRPr="00C32708">
        <w:rPr>
          <w:lang w:val="uk-UA"/>
        </w:rPr>
        <w:t>1</w:t>
      </w:r>
      <w:r>
        <w:rPr>
          <w:lang w:val="uk-UA"/>
        </w:rPr>
        <w:t xml:space="preserve"> млн </w:t>
      </w:r>
      <w:r w:rsidRPr="00C32708">
        <w:rPr>
          <w:lang w:val="uk-UA"/>
        </w:rPr>
        <w:t xml:space="preserve">грн. </w:t>
      </w:r>
    </w:p>
    <w:p w:rsidR="002B4FD3" w:rsidRDefault="002B4FD3" w:rsidP="002B4FD3">
      <w:pPr>
        <w:tabs>
          <w:tab w:val="left" w:pos="0"/>
        </w:tabs>
        <w:jc w:val="both"/>
        <w:rPr>
          <w:lang w:val="uk-UA"/>
        </w:rPr>
      </w:pPr>
      <w:r>
        <w:rPr>
          <w:noProof/>
          <w:lang w:val="uk-UA" w:eastAsia="uk-UA"/>
        </w:rPr>
        <w:drawing>
          <wp:inline distT="0" distB="0" distL="0" distR="0" wp14:anchorId="53396901" wp14:editId="5C7E1FF5">
            <wp:extent cx="5905500" cy="3371850"/>
            <wp:effectExtent l="0" t="0" r="19050" b="19050"/>
            <wp:docPr id="4" name="Діагра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2B4FD3" w:rsidRPr="00C32708" w:rsidRDefault="002B4FD3" w:rsidP="002B4FD3">
      <w:pPr>
        <w:tabs>
          <w:tab w:val="left" w:pos="709"/>
        </w:tabs>
        <w:ind w:firstLine="709"/>
        <w:jc w:val="both"/>
        <w:rPr>
          <w:lang w:val="uk-UA"/>
        </w:rPr>
      </w:pPr>
      <w:r w:rsidRPr="00C32708">
        <w:rPr>
          <w:szCs w:val="20"/>
          <w:lang w:val="uk-UA"/>
        </w:rPr>
        <w:t xml:space="preserve">За видами економічної діяльності податок на доходи фізичних осіб                          за 2019 рік сформовано за рахунок надходжень від </w:t>
      </w:r>
      <w:r w:rsidRPr="00C32708">
        <w:rPr>
          <w:lang w:val="uk-UA"/>
        </w:rPr>
        <w:t>установ та організацій</w:t>
      </w:r>
      <w:r w:rsidRPr="00C32708">
        <w:rPr>
          <w:szCs w:val="20"/>
          <w:lang w:val="uk-UA"/>
        </w:rPr>
        <w:t>: державне управління й оборона – 19,3%, оптова та роздрібна торгівля – 12,1%, освіта – 10,7%,</w:t>
      </w:r>
      <w:r w:rsidR="00D979F9">
        <w:rPr>
          <w:szCs w:val="20"/>
          <w:lang w:val="uk-UA"/>
        </w:rPr>
        <w:t xml:space="preserve"> переробна промисловість – 12,1</w:t>
      </w:r>
      <w:r w:rsidRPr="00C32708">
        <w:rPr>
          <w:szCs w:val="20"/>
          <w:lang w:val="uk-UA"/>
        </w:rPr>
        <w:t>%, охорона здоров’я та надання соціальної допомоги – 9,4%, транспорту та зв’язку – 8,3%, постачання електроенергії, газу, пари та кондиційованого повітря – 2,6%, будівництва – 6,0%, професійна, наукова та технічна діяльність – 1,7%, фінансова та страхова діяльність – 2,9%</w:t>
      </w:r>
      <w:r w:rsidRPr="00C32708">
        <w:rPr>
          <w:lang w:val="uk-UA"/>
        </w:rPr>
        <w:t>, інформація та телекомунікації – 9,6%, інші – 12,4%.</w:t>
      </w:r>
    </w:p>
    <w:p w:rsidR="00216AD2" w:rsidRPr="00C32708" w:rsidRDefault="00216AD2" w:rsidP="00216AD2">
      <w:pPr>
        <w:ind w:firstLine="709"/>
        <w:jc w:val="both"/>
        <w:rPr>
          <w:lang w:val="uk-UA" w:eastAsia="ru-RU"/>
        </w:rPr>
      </w:pPr>
      <w:r w:rsidRPr="00C32708">
        <w:rPr>
          <w:lang w:val="uk-UA" w:eastAsia="ru-RU"/>
        </w:rPr>
        <w:t xml:space="preserve">Видатки місцевого бюджету у звітному періоді фінансувалися у межах надходження доходів.  </w:t>
      </w:r>
      <w:r w:rsidR="00D979F9">
        <w:rPr>
          <w:lang w:val="uk-UA" w:eastAsia="ru-RU"/>
        </w:rPr>
        <w:t>У</w:t>
      </w:r>
      <w:r w:rsidRPr="00C32708">
        <w:rPr>
          <w:lang w:val="uk-UA" w:eastAsia="ru-RU"/>
        </w:rPr>
        <w:t xml:space="preserve"> першу чергу проводилося фінансування видатків на захищені та першочергові статті, в тому числі: на оплату праці працівників бюджетних установ, нарахувань на заробітну плату, оплату за енергоносії, продукти харчування, медикаменти та перев’язувальні матеріали, трансферти населенню та місцевим бюджетам.</w:t>
      </w:r>
    </w:p>
    <w:p w:rsidR="00A73882" w:rsidRDefault="00A73882" w:rsidP="00A73882">
      <w:pPr>
        <w:pStyle w:val="af1"/>
        <w:ind w:left="0" w:firstLine="709"/>
        <w:jc w:val="both"/>
        <w:rPr>
          <w:bCs/>
          <w:sz w:val="28"/>
          <w:szCs w:val="28"/>
          <w:lang w:val="uk-UA"/>
        </w:rPr>
      </w:pPr>
      <w:r w:rsidRPr="005A074F">
        <w:rPr>
          <w:sz w:val="28"/>
          <w:szCs w:val="28"/>
          <w:lang w:val="uk-UA" w:eastAsia="uk-UA"/>
        </w:rPr>
        <w:t xml:space="preserve">Однак, проблемним залишається питання погашення податкового боргу до місцевого бюджету по м.Івано-Франківську. </w:t>
      </w:r>
      <w:r w:rsidRPr="005A074F">
        <w:rPr>
          <w:bCs/>
          <w:sz w:val="28"/>
          <w:szCs w:val="28"/>
          <w:lang w:val="uk-UA"/>
        </w:rPr>
        <w:t>Станом на 01.01.20</w:t>
      </w:r>
      <w:r>
        <w:rPr>
          <w:bCs/>
          <w:sz w:val="28"/>
          <w:szCs w:val="28"/>
          <w:lang w:val="uk-UA"/>
        </w:rPr>
        <w:t>20</w:t>
      </w:r>
      <w:r w:rsidRPr="005A074F">
        <w:rPr>
          <w:bCs/>
          <w:sz w:val="28"/>
          <w:szCs w:val="28"/>
          <w:lang w:val="uk-UA"/>
        </w:rPr>
        <w:t xml:space="preserve"> року податковий борг за податковими зобов'язаннями (без врахування боргу підприємств, щодо яких порушено провадження у справі про банкрутство) до місцевого бюджету у порівнянні з </w:t>
      </w:r>
      <w:r w:rsidR="001A5103">
        <w:rPr>
          <w:bCs/>
          <w:sz w:val="28"/>
          <w:szCs w:val="28"/>
          <w:lang w:val="uk-UA"/>
        </w:rPr>
        <w:t>початком</w:t>
      </w:r>
      <w:r w:rsidRPr="005A074F">
        <w:rPr>
          <w:bCs/>
          <w:sz w:val="28"/>
          <w:szCs w:val="28"/>
          <w:lang w:val="uk-UA"/>
        </w:rPr>
        <w:t xml:space="preserve"> рок</w:t>
      </w:r>
      <w:r w:rsidR="001A5103">
        <w:rPr>
          <w:bCs/>
          <w:sz w:val="28"/>
          <w:szCs w:val="28"/>
          <w:lang w:val="uk-UA"/>
        </w:rPr>
        <w:t>у</w:t>
      </w:r>
      <w:r w:rsidRPr="005A074F">
        <w:rPr>
          <w:bCs/>
          <w:sz w:val="28"/>
          <w:szCs w:val="28"/>
          <w:lang w:val="uk-UA"/>
        </w:rPr>
        <w:t xml:space="preserve"> зріс на </w:t>
      </w:r>
      <w:r w:rsidR="001A5103">
        <w:rPr>
          <w:bCs/>
          <w:sz w:val="28"/>
          <w:szCs w:val="28"/>
          <w:lang w:val="uk-UA"/>
        </w:rPr>
        <w:t>14,7</w:t>
      </w:r>
      <w:r w:rsidRPr="005A074F">
        <w:rPr>
          <w:bCs/>
          <w:sz w:val="28"/>
          <w:szCs w:val="28"/>
          <w:lang w:val="uk-UA"/>
        </w:rPr>
        <w:t xml:space="preserve"> млн грн і становив </w:t>
      </w:r>
      <w:r w:rsidR="001A5103">
        <w:rPr>
          <w:bCs/>
          <w:sz w:val="28"/>
          <w:szCs w:val="28"/>
          <w:lang w:val="uk-UA"/>
        </w:rPr>
        <w:t>67,9</w:t>
      </w:r>
      <w:r w:rsidRPr="005A074F">
        <w:rPr>
          <w:bCs/>
          <w:sz w:val="28"/>
          <w:szCs w:val="28"/>
          <w:lang w:val="uk-UA"/>
        </w:rPr>
        <w:t xml:space="preserve"> млн.грн</w:t>
      </w:r>
    </w:p>
    <w:p w:rsidR="00A73882" w:rsidRDefault="00A73882" w:rsidP="00A73882">
      <w:pPr>
        <w:pStyle w:val="af1"/>
        <w:ind w:left="0" w:firstLine="709"/>
        <w:jc w:val="both"/>
        <w:rPr>
          <w:bCs/>
          <w:sz w:val="28"/>
          <w:szCs w:val="28"/>
          <w:lang w:val="uk-UA"/>
        </w:rPr>
      </w:pPr>
    </w:p>
    <w:p w:rsidR="007B5FC8" w:rsidRPr="00216AD2" w:rsidRDefault="007B5FC8" w:rsidP="00A73882">
      <w:pPr>
        <w:pStyle w:val="af1"/>
        <w:ind w:left="0" w:firstLine="709"/>
        <w:jc w:val="both"/>
        <w:rPr>
          <w:b/>
          <w:bCs/>
          <w:i/>
          <w:sz w:val="28"/>
          <w:szCs w:val="28"/>
          <w:lang w:val="uk-UA"/>
        </w:rPr>
      </w:pPr>
      <w:r w:rsidRPr="00216AD2">
        <w:rPr>
          <w:b/>
          <w:bCs/>
          <w:i/>
          <w:sz w:val="28"/>
          <w:szCs w:val="28"/>
          <w:lang w:val="uk-UA"/>
        </w:rPr>
        <w:t>Розвиток реального сектору економіки</w:t>
      </w:r>
    </w:p>
    <w:p w:rsidR="007B5FC8" w:rsidRPr="007B5FC8" w:rsidRDefault="007B5FC8" w:rsidP="007B5FC8">
      <w:pPr>
        <w:pStyle w:val="af1"/>
        <w:ind w:left="1065"/>
        <w:jc w:val="both"/>
        <w:rPr>
          <w:bCs/>
          <w:i/>
          <w:sz w:val="28"/>
          <w:szCs w:val="28"/>
          <w:highlight w:val="yellow"/>
          <w:lang w:val="uk-UA"/>
        </w:rPr>
      </w:pPr>
    </w:p>
    <w:p w:rsidR="007B5FC8" w:rsidRPr="00EC573E" w:rsidRDefault="007B5FC8" w:rsidP="007B5FC8">
      <w:pPr>
        <w:jc w:val="both"/>
        <w:outlineLvl w:val="0"/>
        <w:rPr>
          <w:bCs/>
          <w:i/>
          <w:lang w:val="uk-UA"/>
        </w:rPr>
      </w:pPr>
      <w:r w:rsidRPr="00EC573E">
        <w:rPr>
          <w:bCs/>
          <w:i/>
          <w:lang w:val="uk-UA"/>
        </w:rPr>
        <w:tab/>
        <w:t xml:space="preserve">2.1 Промисловий комплекс </w:t>
      </w:r>
    </w:p>
    <w:p w:rsidR="0095431F" w:rsidRPr="00ED6B11" w:rsidRDefault="0095431F" w:rsidP="0095431F">
      <w:pPr>
        <w:ind w:firstLine="708"/>
        <w:jc w:val="both"/>
        <w:outlineLvl w:val="0"/>
        <w:rPr>
          <w:rFonts w:cs="Times New Roman"/>
          <w:lang w:val="uk-UA"/>
        </w:rPr>
      </w:pPr>
      <w:r w:rsidRPr="00ED6B11">
        <w:rPr>
          <w:rFonts w:cs="Times New Roman"/>
          <w:lang w:val="uk-UA"/>
        </w:rPr>
        <w:t>Обсяг реалізованої продукції промисловими підприємствами за 2019 рік в м.Івано-Франкі</w:t>
      </w:r>
      <w:r w:rsidR="00ED6B11" w:rsidRPr="00ED6B11">
        <w:rPr>
          <w:rFonts w:cs="Times New Roman"/>
          <w:lang w:val="uk-UA"/>
        </w:rPr>
        <w:t>вську склав близько 11768,7 млн</w:t>
      </w:r>
      <w:r w:rsidR="00ED6B11">
        <w:rPr>
          <w:rFonts w:cs="Times New Roman"/>
          <w:lang w:val="uk-UA"/>
        </w:rPr>
        <w:t xml:space="preserve"> грн</w:t>
      </w:r>
      <w:r w:rsidRPr="00ED6B11">
        <w:rPr>
          <w:rFonts w:cs="Times New Roman"/>
          <w:lang w:val="uk-UA"/>
        </w:rPr>
        <w:t xml:space="preserve"> проти 13648,5 млн</w:t>
      </w:r>
      <w:r w:rsidR="00ED6B11">
        <w:rPr>
          <w:rFonts w:cs="Times New Roman"/>
          <w:lang w:val="uk-UA"/>
        </w:rPr>
        <w:t xml:space="preserve"> </w:t>
      </w:r>
      <w:r w:rsidRPr="00ED6B11">
        <w:rPr>
          <w:rFonts w:cs="Times New Roman"/>
          <w:lang w:val="uk-UA"/>
        </w:rPr>
        <w:t xml:space="preserve">грн </w:t>
      </w:r>
      <w:r w:rsidRPr="00ED6B11">
        <w:rPr>
          <w:rFonts w:cs="Times New Roman"/>
          <w:lang w:val="uk-UA"/>
        </w:rPr>
        <w:lastRenderedPageBreak/>
        <w:t xml:space="preserve">за минулий рік, що становить 86,2%. Частка міста у загальнообласному обсязі реалізації склала 17,7%. </w:t>
      </w:r>
    </w:p>
    <w:p w:rsidR="0095431F" w:rsidRPr="0095431F" w:rsidRDefault="0095431F" w:rsidP="0095431F">
      <w:pPr>
        <w:ind w:firstLine="708"/>
        <w:jc w:val="both"/>
        <w:outlineLvl w:val="0"/>
        <w:rPr>
          <w:rFonts w:cs="Times New Roman"/>
        </w:rPr>
      </w:pPr>
      <w:r w:rsidRPr="00ED6B11">
        <w:rPr>
          <w:rFonts w:cs="Times New Roman"/>
          <w:lang w:val="uk-UA"/>
        </w:rPr>
        <w:t xml:space="preserve">У розрахунку на одну особу населення міста обсяг реалізованої промислової продукції склав </w:t>
      </w:r>
      <w:r w:rsidRPr="00ED6B11">
        <w:rPr>
          <w:rFonts w:cs="Times New Roman"/>
          <w:spacing w:val="-2"/>
          <w:lang w:val="uk-UA"/>
        </w:rPr>
        <w:t xml:space="preserve">45,4 </w:t>
      </w:r>
      <w:r w:rsidRPr="00ED6B11">
        <w:rPr>
          <w:rFonts w:cs="Times New Roman"/>
          <w:lang w:val="uk-UA"/>
        </w:rPr>
        <w:t>тис.грн (</w:t>
      </w:r>
      <w:r w:rsidR="00ED6B11">
        <w:rPr>
          <w:rFonts w:cs="Times New Roman"/>
          <w:lang w:val="uk-UA"/>
        </w:rPr>
        <w:t>у</w:t>
      </w:r>
      <w:r w:rsidRPr="00ED6B11">
        <w:rPr>
          <w:rFonts w:cs="Times New Roman"/>
          <w:lang w:val="uk-UA"/>
        </w:rPr>
        <w:t xml:space="preserve"> цілому по області – 48</w:t>
      </w:r>
      <w:r w:rsidRPr="0095431F">
        <w:rPr>
          <w:rFonts w:cs="Times New Roman"/>
        </w:rPr>
        <w:t>,4 тис.грн).</w:t>
      </w:r>
    </w:p>
    <w:p w:rsidR="003A6ABC" w:rsidRDefault="003A6ABC" w:rsidP="0095431F">
      <w:pPr>
        <w:ind w:firstLine="708"/>
        <w:jc w:val="both"/>
        <w:outlineLvl w:val="0"/>
        <w:rPr>
          <w:rFonts w:cs="Times New Roman"/>
          <w:i/>
          <w:sz w:val="24"/>
          <w:szCs w:val="24"/>
          <w:lang w:val="uk-UA"/>
        </w:rPr>
      </w:pPr>
    </w:p>
    <w:p w:rsidR="0095431F" w:rsidRPr="00E50112" w:rsidRDefault="0095431F" w:rsidP="0095431F">
      <w:pPr>
        <w:ind w:firstLine="708"/>
        <w:jc w:val="both"/>
        <w:outlineLvl w:val="0"/>
        <w:rPr>
          <w:rFonts w:cs="Times New Roman"/>
          <w:i/>
          <w:sz w:val="24"/>
          <w:szCs w:val="24"/>
          <w:lang w:val="uk-UA"/>
        </w:rPr>
      </w:pPr>
      <w:r w:rsidRPr="00E50112">
        <w:rPr>
          <w:rFonts w:cs="Times New Roman"/>
          <w:i/>
          <w:sz w:val="24"/>
          <w:szCs w:val="24"/>
          <w:lang w:val="uk-UA"/>
        </w:rPr>
        <w:t>Структура обсягів реалізації промислової продукції</w:t>
      </w:r>
    </w:p>
    <w:p w:rsidR="0095431F" w:rsidRPr="0095431F" w:rsidRDefault="00595A04" w:rsidP="0095431F">
      <w:pPr>
        <w:ind w:firstLine="708"/>
        <w:jc w:val="both"/>
        <w:outlineLvl w:val="0"/>
        <w:rPr>
          <w:rFonts w:cs="Times New Roman"/>
        </w:rPr>
      </w:pPr>
      <w:r w:rsidRPr="0095431F">
        <w:rPr>
          <w:rFonts w:cs="Times New Roman"/>
          <w:noProof/>
          <w:lang w:val="uk-UA" w:eastAsia="uk-UA"/>
        </w:rPr>
        <w:drawing>
          <wp:anchor distT="0" distB="0" distL="114300" distR="114300" simplePos="0" relativeHeight="251671552" behindDoc="1" locked="0" layoutInCell="1" allowOverlap="1" wp14:anchorId="0E770B34" wp14:editId="07F5810B">
            <wp:simplePos x="0" y="0"/>
            <wp:positionH relativeFrom="column">
              <wp:posOffset>90530</wp:posOffset>
            </wp:positionH>
            <wp:positionV relativeFrom="paragraph">
              <wp:posOffset>2334</wp:posOffset>
            </wp:positionV>
            <wp:extent cx="5724525" cy="2657475"/>
            <wp:effectExtent l="0" t="0" r="0" b="0"/>
            <wp:wrapSquare wrapText="bothSides"/>
            <wp:docPr id="15" name="Діаграма 1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margin">
              <wp14:pctWidth>0</wp14:pctWidth>
            </wp14:sizeRelH>
            <wp14:sizeRelV relativeFrom="margin">
              <wp14:pctHeight>0</wp14:pctHeight>
            </wp14:sizeRelV>
          </wp:anchor>
        </w:drawing>
      </w:r>
      <w:r w:rsidR="0095431F" w:rsidRPr="00E50112">
        <w:rPr>
          <w:rFonts w:cs="Times New Roman"/>
          <w:lang w:val="uk-UA"/>
        </w:rPr>
        <w:t>Частка обсягів реалізації підприємств переробної промисловості станови</w:t>
      </w:r>
      <w:r w:rsidR="00ED6B11">
        <w:rPr>
          <w:rFonts w:cs="Times New Roman"/>
          <w:lang w:val="uk-UA"/>
        </w:rPr>
        <w:t>ла</w:t>
      </w:r>
      <w:r w:rsidR="0095431F" w:rsidRPr="00E50112">
        <w:rPr>
          <w:rFonts w:cs="Times New Roman"/>
          <w:lang w:val="uk-UA"/>
        </w:rPr>
        <w:t xml:space="preserve"> 44,7% </w:t>
      </w:r>
      <w:r w:rsidR="00ED6B11">
        <w:rPr>
          <w:rFonts w:cs="Times New Roman"/>
          <w:lang w:val="uk-UA"/>
        </w:rPr>
        <w:t>у</w:t>
      </w:r>
      <w:r w:rsidR="0095431F" w:rsidRPr="00E50112">
        <w:rPr>
          <w:rFonts w:cs="Times New Roman"/>
          <w:lang w:val="uk-UA"/>
        </w:rPr>
        <w:t xml:space="preserve"> загальному обсязі реалізації. </w:t>
      </w:r>
      <w:r w:rsidR="0095431F" w:rsidRPr="0095431F">
        <w:rPr>
          <w:rFonts w:cs="Times New Roman"/>
        </w:rPr>
        <w:t>Найбільшу питому вагу у структурі реалізації займали підприємства з постачання електроенергії, газу, пари та кондиційованого повітря (53,4%).</w:t>
      </w:r>
    </w:p>
    <w:p w:rsidR="0095431F" w:rsidRPr="0095431F" w:rsidRDefault="0095431F" w:rsidP="0095431F">
      <w:pPr>
        <w:ind w:firstLine="708"/>
        <w:jc w:val="both"/>
        <w:outlineLvl w:val="0"/>
        <w:rPr>
          <w:rFonts w:cs="Times New Roman"/>
          <w:highlight w:val="yellow"/>
        </w:rPr>
      </w:pPr>
      <w:r w:rsidRPr="0095431F">
        <w:rPr>
          <w:rFonts w:cs="Times New Roman"/>
        </w:rPr>
        <w:t>В обсязі реалізованої продукції добувної та переробної промисловості за основними промисловими групами 51,3% займали споживчі товари короткострокового та тривалого використання, 21,7% – інвестиційні товари, 27% – товари проміжного споживання.</w:t>
      </w:r>
    </w:p>
    <w:p w:rsidR="0095431F" w:rsidRPr="0095431F" w:rsidRDefault="0095431F" w:rsidP="0095431F">
      <w:pPr>
        <w:ind w:firstLine="708"/>
        <w:jc w:val="both"/>
        <w:outlineLvl w:val="0"/>
        <w:rPr>
          <w:rFonts w:cs="Times New Roman"/>
          <w:highlight w:val="yellow"/>
        </w:rPr>
      </w:pPr>
    </w:p>
    <w:p w:rsidR="0095431F" w:rsidRPr="0095431F" w:rsidRDefault="0095431F" w:rsidP="0095431F">
      <w:pPr>
        <w:ind w:firstLine="708"/>
        <w:jc w:val="both"/>
        <w:outlineLvl w:val="0"/>
        <w:rPr>
          <w:rFonts w:cs="Times New Roman"/>
          <w:i/>
          <w:sz w:val="24"/>
          <w:szCs w:val="24"/>
        </w:rPr>
      </w:pPr>
      <w:r w:rsidRPr="0095431F">
        <w:rPr>
          <w:rFonts w:cs="Times New Roman"/>
          <w:i/>
          <w:sz w:val="24"/>
          <w:szCs w:val="24"/>
        </w:rPr>
        <w:t>Структура обсягів реалізації підприємств переробної промисловості за основними видами діяльності</w:t>
      </w:r>
    </w:p>
    <w:p w:rsidR="0095431F" w:rsidRPr="0095431F" w:rsidRDefault="0095431F" w:rsidP="0095431F">
      <w:pPr>
        <w:ind w:firstLine="708"/>
        <w:jc w:val="both"/>
        <w:outlineLvl w:val="0"/>
        <w:rPr>
          <w:rFonts w:cs="Times New Roman"/>
        </w:rPr>
      </w:pPr>
    </w:p>
    <w:p w:rsidR="0095431F" w:rsidRPr="0095431F" w:rsidRDefault="0095431F" w:rsidP="0095431F">
      <w:pPr>
        <w:ind w:firstLine="708"/>
        <w:jc w:val="both"/>
        <w:outlineLvl w:val="0"/>
        <w:rPr>
          <w:rFonts w:cs="Times New Roman"/>
          <w:highlight w:val="yellow"/>
        </w:rPr>
      </w:pPr>
      <w:r w:rsidRPr="0095431F">
        <w:rPr>
          <w:rFonts w:cs="Times New Roman"/>
          <w:noProof/>
          <w:lang w:val="uk-UA" w:eastAsia="uk-UA"/>
        </w:rPr>
        <w:drawing>
          <wp:anchor distT="0" distB="0" distL="114300" distR="114300" simplePos="0" relativeHeight="251672576" behindDoc="1" locked="0" layoutInCell="1" allowOverlap="1" wp14:anchorId="3E3F3211" wp14:editId="19709B42">
            <wp:simplePos x="0" y="0"/>
            <wp:positionH relativeFrom="column">
              <wp:posOffset>6350</wp:posOffset>
            </wp:positionH>
            <wp:positionV relativeFrom="paragraph">
              <wp:posOffset>57150</wp:posOffset>
            </wp:positionV>
            <wp:extent cx="5953125" cy="3409950"/>
            <wp:effectExtent l="38100" t="57150" r="47625" b="38100"/>
            <wp:wrapNone/>
            <wp:docPr id="9" name="Діаграма 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margin">
              <wp14:pctWidth>0</wp14:pctWidth>
            </wp14:sizeRelH>
            <wp14:sizeRelV relativeFrom="margin">
              <wp14:pctHeight>0</wp14:pctHeight>
            </wp14:sizeRelV>
          </wp:anchor>
        </w:drawing>
      </w:r>
    </w:p>
    <w:p w:rsidR="0095431F" w:rsidRPr="0095431F" w:rsidRDefault="0095431F" w:rsidP="0095431F">
      <w:pPr>
        <w:ind w:firstLine="708"/>
        <w:jc w:val="both"/>
        <w:outlineLvl w:val="0"/>
        <w:rPr>
          <w:rFonts w:cs="Times New Roman"/>
          <w:highlight w:val="yellow"/>
        </w:rPr>
      </w:pPr>
    </w:p>
    <w:p w:rsidR="0095431F" w:rsidRPr="0095431F" w:rsidRDefault="0095431F" w:rsidP="0095431F">
      <w:pPr>
        <w:ind w:firstLine="708"/>
        <w:jc w:val="both"/>
        <w:outlineLvl w:val="0"/>
        <w:rPr>
          <w:rFonts w:cs="Times New Roman"/>
          <w:highlight w:val="yellow"/>
        </w:rPr>
      </w:pPr>
    </w:p>
    <w:p w:rsidR="0095431F" w:rsidRPr="0095431F" w:rsidRDefault="0095431F" w:rsidP="0095431F">
      <w:pPr>
        <w:ind w:firstLine="708"/>
        <w:jc w:val="both"/>
        <w:outlineLvl w:val="0"/>
        <w:rPr>
          <w:rFonts w:cs="Times New Roman"/>
          <w:highlight w:val="yellow"/>
        </w:rPr>
      </w:pPr>
    </w:p>
    <w:p w:rsidR="0095431F" w:rsidRPr="0095431F" w:rsidRDefault="0095431F" w:rsidP="0095431F">
      <w:pPr>
        <w:ind w:firstLine="708"/>
        <w:jc w:val="both"/>
        <w:outlineLvl w:val="0"/>
        <w:rPr>
          <w:rFonts w:cs="Times New Roman"/>
          <w:highlight w:val="yellow"/>
        </w:rPr>
      </w:pPr>
    </w:p>
    <w:p w:rsidR="0095431F" w:rsidRPr="0095431F" w:rsidRDefault="0095431F" w:rsidP="0095431F">
      <w:pPr>
        <w:ind w:firstLine="708"/>
        <w:jc w:val="both"/>
        <w:outlineLvl w:val="0"/>
        <w:rPr>
          <w:rFonts w:cs="Times New Roman"/>
          <w:highlight w:val="yellow"/>
        </w:rPr>
      </w:pPr>
    </w:p>
    <w:p w:rsidR="0095431F" w:rsidRPr="0095431F" w:rsidRDefault="0095431F" w:rsidP="0095431F">
      <w:pPr>
        <w:ind w:firstLine="708"/>
        <w:jc w:val="both"/>
        <w:outlineLvl w:val="0"/>
        <w:rPr>
          <w:rFonts w:cs="Times New Roman"/>
          <w:highlight w:val="yellow"/>
        </w:rPr>
      </w:pPr>
    </w:p>
    <w:p w:rsidR="0095431F" w:rsidRPr="0095431F" w:rsidRDefault="0095431F" w:rsidP="0095431F">
      <w:pPr>
        <w:ind w:firstLine="708"/>
        <w:jc w:val="both"/>
        <w:outlineLvl w:val="0"/>
        <w:rPr>
          <w:rFonts w:cs="Times New Roman"/>
          <w:highlight w:val="yellow"/>
        </w:rPr>
      </w:pPr>
    </w:p>
    <w:p w:rsidR="0095431F" w:rsidRPr="0095431F" w:rsidRDefault="0095431F" w:rsidP="0095431F">
      <w:pPr>
        <w:ind w:firstLine="708"/>
        <w:jc w:val="both"/>
        <w:outlineLvl w:val="0"/>
        <w:rPr>
          <w:rFonts w:cs="Times New Roman"/>
          <w:highlight w:val="yellow"/>
        </w:rPr>
      </w:pPr>
    </w:p>
    <w:p w:rsidR="0095431F" w:rsidRPr="0095431F" w:rsidRDefault="0095431F" w:rsidP="0095431F">
      <w:pPr>
        <w:ind w:firstLine="708"/>
        <w:jc w:val="both"/>
        <w:outlineLvl w:val="0"/>
        <w:rPr>
          <w:rFonts w:cs="Times New Roman"/>
          <w:highlight w:val="yellow"/>
        </w:rPr>
      </w:pPr>
    </w:p>
    <w:p w:rsidR="0095431F" w:rsidRPr="0095431F" w:rsidRDefault="0095431F" w:rsidP="0095431F">
      <w:pPr>
        <w:ind w:firstLine="708"/>
        <w:jc w:val="both"/>
        <w:outlineLvl w:val="0"/>
        <w:rPr>
          <w:rFonts w:cs="Times New Roman"/>
          <w:highlight w:val="yellow"/>
        </w:rPr>
      </w:pPr>
    </w:p>
    <w:p w:rsidR="0095431F" w:rsidRPr="0095431F" w:rsidRDefault="0095431F" w:rsidP="0095431F">
      <w:pPr>
        <w:ind w:firstLine="708"/>
        <w:jc w:val="both"/>
        <w:outlineLvl w:val="0"/>
        <w:rPr>
          <w:rFonts w:cs="Times New Roman"/>
          <w:highlight w:val="yellow"/>
        </w:rPr>
      </w:pPr>
    </w:p>
    <w:p w:rsidR="0095431F" w:rsidRPr="0095431F" w:rsidRDefault="0095431F" w:rsidP="0095431F">
      <w:pPr>
        <w:ind w:firstLine="708"/>
        <w:jc w:val="both"/>
        <w:outlineLvl w:val="0"/>
        <w:rPr>
          <w:rFonts w:cs="Times New Roman"/>
          <w:highlight w:val="yellow"/>
        </w:rPr>
      </w:pPr>
    </w:p>
    <w:p w:rsidR="0095431F" w:rsidRPr="0095431F" w:rsidRDefault="0095431F" w:rsidP="0095431F">
      <w:pPr>
        <w:ind w:firstLine="708"/>
        <w:jc w:val="both"/>
        <w:outlineLvl w:val="0"/>
        <w:rPr>
          <w:rFonts w:cs="Times New Roman"/>
          <w:highlight w:val="yellow"/>
        </w:rPr>
      </w:pPr>
    </w:p>
    <w:p w:rsidR="0095431F" w:rsidRPr="0095431F" w:rsidRDefault="0095431F" w:rsidP="0095431F">
      <w:pPr>
        <w:ind w:firstLine="708"/>
        <w:jc w:val="both"/>
        <w:outlineLvl w:val="0"/>
        <w:rPr>
          <w:rFonts w:cs="Times New Roman"/>
          <w:highlight w:val="yellow"/>
        </w:rPr>
      </w:pPr>
    </w:p>
    <w:p w:rsidR="0095431F" w:rsidRPr="0095431F" w:rsidRDefault="0095431F" w:rsidP="0095431F">
      <w:pPr>
        <w:ind w:firstLine="708"/>
        <w:jc w:val="both"/>
        <w:outlineLvl w:val="0"/>
        <w:rPr>
          <w:rFonts w:cs="Times New Roman"/>
          <w:highlight w:val="yellow"/>
        </w:rPr>
      </w:pPr>
    </w:p>
    <w:p w:rsidR="0095431F" w:rsidRPr="0095431F" w:rsidRDefault="0095431F" w:rsidP="0095431F">
      <w:pPr>
        <w:ind w:firstLine="708"/>
        <w:jc w:val="both"/>
        <w:outlineLvl w:val="0"/>
        <w:rPr>
          <w:rFonts w:cs="Times New Roman"/>
          <w:highlight w:val="yellow"/>
        </w:rPr>
      </w:pPr>
    </w:p>
    <w:p w:rsidR="0095431F" w:rsidRPr="0095431F" w:rsidRDefault="0095431F" w:rsidP="0095431F">
      <w:pPr>
        <w:ind w:firstLine="708"/>
        <w:jc w:val="both"/>
        <w:outlineLvl w:val="0"/>
        <w:rPr>
          <w:rFonts w:cs="Times New Roman"/>
          <w:highlight w:val="yellow"/>
        </w:rPr>
      </w:pPr>
    </w:p>
    <w:p w:rsidR="0095431F" w:rsidRPr="0095431F" w:rsidRDefault="0095431F" w:rsidP="0095431F">
      <w:pPr>
        <w:ind w:firstLine="708"/>
        <w:jc w:val="both"/>
        <w:outlineLvl w:val="0"/>
        <w:rPr>
          <w:rFonts w:cs="Times New Roman"/>
        </w:rPr>
      </w:pPr>
      <w:r w:rsidRPr="0095431F">
        <w:rPr>
          <w:rFonts w:cs="Times New Roman"/>
        </w:rPr>
        <w:t>Найбільшу питому вагу у структурі переробної промисловості займали підприємства машинобудування (51,8%), з виробництва харчових продуктів, напоїв та тютюнових виробів (24,9%), з виробництва гумових і пластмасових виробів, іншої неметалевої мінеральної продукції (8,6%).</w:t>
      </w:r>
    </w:p>
    <w:p w:rsidR="0095431F" w:rsidRPr="0095431F" w:rsidRDefault="0095431F" w:rsidP="0095431F">
      <w:pPr>
        <w:ind w:firstLine="708"/>
        <w:jc w:val="both"/>
        <w:outlineLvl w:val="0"/>
        <w:rPr>
          <w:rFonts w:cs="Times New Roman"/>
        </w:rPr>
      </w:pPr>
      <w:r w:rsidRPr="0095431F">
        <w:rPr>
          <w:rFonts w:cs="Times New Roman"/>
        </w:rPr>
        <w:t>Обсяг реалізації продукції підприємств харчопереробної га</w:t>
      </w:r>
      <w:r w:rsidR="00ED65BE">
        <w:rPr>
          <w:rFonts w:cs="Times New Roman"/>
        </w:rPr>
        <w:t>лузі складає близько 1307,9 млн</w:t>
      </w:r>
      <w:r w:rsidR="00ED65BE">
        <w:rPr>
          <w:rFonts w:cs="Times New Roman"/>
          <w:lang w:val="uk-UA"/>
        </w:rPr>
        <w:t xml:space="preserve"> </w:t>
      </w:r>
      <w:r w:rsidRPr="0095431F">
        <w:rPr>
          <w:rFonts w:cs="Times New Roman"/>
        </w:rPr>
        <w:t>гр</w:t>
      </w:r>
      <w:r w:rsidR="00ED65BE">
        <w:rPr>
          <w:rFonts w:cs="Times New Roman"/>
        </w:rPr>
        <w:t>н проти 2430,0 млн</w:t>
      </w:r>
      <w:r w:rsidR="00ED65BE">
        <w:rPr>
          <w:rFonts w:cs="Times New Roman"/>
          <w:lang w:val="uk-UA"/>
        </w:rPr>
        <w:t xml:space="preserve"> </w:t>
      </w:r>
      <w:r w:rsidRPr="0095431F">
        <w:rPr>
          <w:rFonts w:cs="Times New Roman"/>
        </w:rPr>
        <w:t xml:space="preserve">грн, що становить 53,8% у порівнянні з минулим роком. Причинами спаду є закриття виробництва ПАТ "Івано-Франківський м'ясокомбінат" – у червні 2018 року, а також зменшення обсягів виробництва й реалізації продукції ТОВ "Імперово Фудз", ПАТ ВТКФ "Ласощі", ТОВ "Залізнична пекарня", ТДВ "Полонина". Спостерігається ріст обсягів виробництва й реалізації продукції ТОВ "Лігос" (140,3%), ТДВ "Івано-Франківський хлібокомбінат" (109,6%). </w:t>
      </w:r>
    </w:p>
    <w:p w:rsidR="0095431F" w:rsidRPr="0095431F" w:rsidRDefault="00ED65BE" w:rsidP="0095431F">
      <w:pPr>
        <w:shd w:val="clear" w:color="auto" w:fill="FFFFFF"/>
        <w:ind w:firstLine="708"/>
        <w:jc w:val="both"/>
        <w:outlineLvl w:val="0"/>
        <w:rPr>
          <w:rFonts w:cs="Times New Roman"/>
        </w:rPr>
      </w:pPr>
      <w:r>
        <w:rPr>
          <w:rFonts w:cs="Times New Roman"/>
          <w:lang w:val="uk-UA"/>
        </w:rPr>
        <w:t>Варто відзначити поитвну динаміку росту</w:t>
      </w:r>
      <w:r w:rsidR="0095431F" w:rsidRPr="0095431F">
        <w:rPr>
          <w:rFonts w:cs="Times New Roman"/>
        </w:rPr>
        <w:t xml:space="preserve"> обсягів реалізації продукції машинобудівних підприємств та підприємств з виробництва металевих виробів. Приріст обсягів машинобудівних підприємств за </w:t>
      </w:r>
      <w:r>
        <w:rPr>
          <w:rFonts w:cs="Times New Roman"/>
          <w:lang w:val="uk-UA"/>
        </w:rPr>
        <w:t>звітний</w:t>
      </w:r>
      <w:r w:rsidR="0095431F" w:rsidRPr="0095431F">
        <w:rPr>
          <w:rFonts w:cs="Times New Roman"/>
        </w:rPr>
        <w:t xml:space="preserve"> період становить 107,3%. Зокрема, обсяги реалізації цієї галуз</w:t>
      </w:r>
      <w:r>
        <w:rPr>
          <w:rFonts w:cs="Times New Roman"/>
        </w:rPr>
        <w:t>і за 2019 рік склали 2715,8 млн</w:t>
      </w:r>
      <w:r>
        <w:rPr>
          <w:rFonts w:cs="Times New Roman"/>
          <w:lang w:val="uk-UA"/>
        </w:rPr>
        <w:t xml:space="preserve"> </w:t>
      </w:r>
      <w:r>
        <w:rPr>
          <w:rFonts w:cs="Times New Roman"/>
        </w:rPr>
        <w:t>грн проти 2530,3 млн</w:t>
      </w:r>
      <w:r>
        <w:rPr>
          <w:rFonts w:cs="Times New Roman"/>
          <w:lang w:val="uk-UA"/>
        </w:rPr>
        <w:t xml:space="preserve"> </w:t>
      </w:r>
      <w:r>
        <w:rPr>
          <w:rFonts w:cs="Times New Roman"/>
        </w:rPr>
        <w:t>грн</w:t>
      </w:r>
      <w:r w:rsidR="0095431F" w:rsidRPr="0095431F">
        <w:rPr>
          <w:rFonts w:cs="Times New Roman"/>
        </w:rPr>
        <w:t xml:space="preserve"> </w:t>
      </w:r>
      <w:proofErr w:type="gramStart"/>
      <w:r w:rsidR="0095431F" w:rsidRPr="0095431F">
        <w:rPr>
          <w:rFonts w:cs="Times New Roman"/>
        </w:rPr>
        <w:t>за  попередній</w:t>
      </w:r>
      <w:proofErr w:type="gramEnd"/>
      <w:r w:rsidR="0095431F" w:rsidRPr="0095431F">
        <w:rPr>
          <w:rFonts w:cs="Times New Roman"/>
        </w:rPr>
        <w:t xml:space="preserve"> рік. </w:t>
      </w:r>
      <w:r>
        <w:rPr>
          <w:rFonts w:cs="Times New Roman"/>
          <w:lang w:val="uk-UA"/>
        </w:rPr>
        <w:t>Л</w:t>
      </w:r>
      <w:r w:rsidR="0095431F" w:rsidRPr="0095431F">
        <w:rPr>
          <w:rFonts w:cs="Times New Roman"/>
        </w:rPr>
        <w:t>ідером галузі є ДП ВО "Карпати" (</w:t>
      </w:r>
      <w:r>
        <w:rPr>
          <w:rFonts w:cs="Times New Roman"/>
          <w:lang w:val="uk-UA"/>
        </w:rPr>
        <w:t xml:space="preserve">темп росту склав </w:t>
      </w:r>
      <w:r w:rsidR="0095431F" w:rsidRPr="0095431F">
        <w:rPr>
          <w:rFonts w:cs="Times New Roman"/>
        </w:rPr>
        <w:t>132</w:t>
      </w:r>
      <w:r>
        <w:rPr>
          <w:rFonts w:cs="Times New Roman"/>
        </w:rPr>
        <w:t xml:space="preserve">,5%). Показники діяльності ПАТ </w:t>
      </w:r>
      <w:r>
        <w:rPr>
          <w:rFonts w:cs="Times New Roman"/>
          <w:lang w:val="uk-UA"/>
        </w:rPr>
        <w:t>"</w:t>
      </w:r>
      <w:r>
        <w:rPr>
          <w:rFonts w:cs="Times New Roman"/>
        </w:rPr>
        <w:t>Івано-Франківський ЛРЗ</w:t>
      </w:r>
      <w:r>
        <w:rPr>
          <w:rFonts w:cs="Times New Roman"/>
          <w:lang w:val="uk-UA"/>
        </w:rPr>
        <w:t>"</w:t>
      </w:r>
      <w:r w:rsidR="0095431F" w:rsidRPr="0095431F">
        <w:rPr>
          <w:rFonts w:cs="Times New Roman"/>
        </w:rPr>
        <w:t xml:space="preserve"> за 2019 рік станов</w:t>
      </w:r>
      <w:r>
        <w:rPr>
          <w:rFonts w:cs="Times New Roman"/>
          <w:lang w:val="uk-UA"/>
        </w:rPr>
        <w:t>или</w:t>
      </w:r>
      <w:r>
        <w:rPr>
          <w:rFonts w:cs="Times New Roman"/>
        </w:rPr>
        <w:t xml:space="preserve"> 104,7%, ПАТ </w:t>
      </w:r>
      <w:r>
        <w:rPr>
          <w:rFonts w:cs="Times New Roman"/>
          <w:lang w:val="uk-UA"/>
        </w:rPr>
        <w:t>"</w:t>
      </w:r>
      <w:r>
        <w:rPr>
          <w:rFonts w:cs="Times New Roman"/>
        </w:rPr>
        <w:t xml:space="preserve">Івано-Франківський завод </w:t>
      </w:r>
      <w:r>
        <w:rPr>
          <w:rFonts w:cs="Times New Roman"/>
          <w:lang w:val="uk-UA"/>
        </w:rPr>
        <w:t>"</w:t>
      </w:r>
      <w:r w:rsidR="0095431F" w:rsidRPr="0095431F">
        <w:rPr>
          <w:rFonts w:cs="Times New Roman"/>
        </w:rPr>
        <w:t>Промприлад</w:t>
      </w:r>
      <w:r>
        <w:rPr>
          <w:rFonts w:cs="Times New Roman"/>
          <w:lang w:val="uk-UA"/>
        </w:rPr>
        <w:t>"</w:t>
      </w:r>
      <w:r w:rsidR="0095431F" w:rsidRPr="0095431F">
        <w:rPr>
          <w:rFonts w:cs="Times New Roman"/>
        </w:rPr>
        <w:t xml:space="preserve"> - 133,7%.</w:t>
      </w:r>
    </w:p>
    <w:p w:rsidR="0095431F" w:rsidRPr="0095431F" w:rsidRDefault="0095431F" w:rsidP="0095431F">
      <w:pPr>
        <w:shd w:val="clear" w:color="auto" w:fill="FFFFFF"/>
        <w:ind w:firstLine="708"/>
        <w:jc w:val="both"/>
        <w:outlineLvl w:val="0"/>
        <w:rPr>
          <w:rFonts w:cs="Times New Roman"/>
        </w:rPr>
      </w:pPr>
      <w:r w:rsidRPr="0095431F">
        <w:rPr>
          <w:rFonts w:cs="Times New Roman"/>
        </w:rPr>
        <w:t>Підприємства, які спеціалізуються на текстильному виробництві, виробництві одягу, виробів зі шкіри та інших матеріалів наростили обсяги реалізації у порівнянні з минулим роком на 2,1%, підприємства з виробництва гумових і пластмасових виробів, іншої неметалевої мінеральної продукції – на 7,6%. Зокрема, наростили обсяги реалізації продукції такі підприємства зазначених галузей як ПАТ "ВТШП "Галичина" (105,3%), ТДВ "Івано-Франківськзалізобетон" (110,8%).</w:t>
      </w:r>
    </w:p>
    <w:p w:rsidR="0095431F" w:rsidRPr="0095431F" w:rsidRDefault="0095431F" w:rsidP="0095431F">
      <w:pPr>
        <w:shd w:val="clear" w:color="auto" w:fill="FFFFFF"/>
        <w:ind w:firstLine="708"/>
        <w:jc w:val="both"/>
        <w:outlineLvl w:val="0"/>
        <w:rPr>
          <w:rFonts w:cs="Times New Roman"/>
        </w:rPr>
      </w:pPr>
      <w:r w:rsidRPr="0095431F">
        <w:rPr>
          <w:rFonts w:cs="Times New Roman"/>
        </w:rPr>
        <w:t>Відбувся спад на 16,5% на підприємствах з виробництва меблів, іншої продукції, ремонту і монтажу машин і устаткування</w:t>
      </w:r>
      <w:r w:rsidR="00ED65BE">
        <w:rPr>
          <w:rFonts w:cs="Times New Roman"/>
          <w:lang w:val="uk-UA"/>
        </w:rPr>
        <w:t xml:space="preserve">, </w:t>
      </w:r>
      <w:r w:rsidRPr="0095431F">
        <w:rPr>
          <w:rFonts w:cs="Times New Roman"/>
        </w:rPr>
        <w:t>в основному</w:t>
      </w:r>
      <w:r w:rsidR="00ED65BE">
        <w:rPr>
          <w:rFonts w:cs="Times New Roman"/>
          <w:lang w:val="uk-UA"/>
        </w:rPr>
        <w:t>,</w:t>
      </w:r>
      <w:r w:rsidRPr="0095431F">
        <w:rPr>
          <w:rFonts w:cs="Times New Roman"/>
        </w:rPr>
        <w:t xml:space="preserve"> через зменшення обсягу реалізованої продукції ТзОВ "Інтелком" (82,2%).     </w:t>
      </w:r>
    </w:p>
    <w:p w:rsidR="0095431F" w:rsidRPr="0095431F" w:rsidRDefault="0095431F" w:rsidP="0095431F">
      <w:pPr>
        <w:shd w:val="clear" w:color="auto" w:fill="FFFFFF"/>
        <w:ind w:firstLine="708"/>
        <w:jc w:val="both"/>
        <w:outlineLvl w:val="0"/>
        <w:rPr>
          <w:rFonts w:cs="Times New Roman"/>
        </w:rPr>
      </w:pPr>
      <w:proofErr w:type="gramStart"/>
      <w:r w:rsidRPr="0095431F">
        <w:rPr>
          <w:rFonts w:cs="Times New Roman"/>
        </w:rPr>
        <w:t>Підприємства  -</w:t>
      </w:r>
      <w:proofErr w:type="gramEnd"/>
      <w:r w:rsidRPr="0095431F">
        <w:rPr>
          <w:rFonts w:cs="Times New Roman"/>
        </w:rPr>
        <w:t xml:space="preserve"> виробники виробів з деревини, виробництва паперу та поліграфічної діяльності у 2019 році показали незначний спад результатів діяльності – темп росту скла</w:t>
      </w:r>
      <w:r w:rsidR="00ED65BE">
        <w:rPr>
          <w:rFonts w:cs="Times New Roman"/>
          <w:lang w:val="uk-UA"/>
        </w:rPr>
        <w:t>в</w:t>
      </w:r>
      <w:r w:rsidR="00ED65BE">
        <w:rPr>
          <w:rFonts w:cs="Times New Roman"/>
        </w:rPr>
        <w:t xml:space="preserve"> 96,2%</w:t>
      </w:r>
      <w:r w:rsidR="00ED65BE">
        <w:rPr>
          <w:rFonts w:cs="Times New Roman"/>
          <w:lang w:val="uk-UA"/>
        </w:rPr>
        <w:t>, зокрема</w:t>
      </w:r>
      <w:r w:rsidRPr="0095431F">
        <w:rPr>
          <w:rFonts w:cs="Times New Roman"/>
        </w:rPr>
        <w:t xml:space="preserve"> ТзОВ "Куверт-Україна (98,5%), ТОВ "Солід Україна" (100,7%).</w:t>
      </w:r>
    </w:p>
    <w:p w:rsidR="0095431F" w:rsidRPr="0095431F" w:rsidRDefault="0095431F" w:rsidP="0095431F">
      <w:pPr>
        <w:shd w:val="clear" w:color="auto" w:fill="FFFFFF"/>
        <w:ind w:firstLine="708"/>
        <w:jc w:val="both"/>
        <w:outlineLvl w:val="0"/>
        <w:rPr>
          <w:rFonts w:cs="Times New Roman"/>
          <w:color w:val="000000"/>
        </w:rPr>
      </w:pPr>
      <w:r w:rsidRPr="0095431F">
        <w:rPr>
          <w:rFonts w:cs="Times New Roman"/>
          <w:color w:val="000000"/>
        </w:rPr>
        <w:t xml:space="preserve">Постійно </w:t>
      </w:r>
      <w:r w:rsidR="00ED65BE">
        <w:rPr>
          <w:rFonts w:cs="Times New Roman"/>
          <w:color w:val="000000"/>
          <w:lang w:val="uk-UA"/>
        </w:rPr>
        <w:t>надається</w:t>
      </w:r>
      <w:r w:rsidRPr="0095431F">
        <w:rPr>
          <w:rFonts w:cs="Times New Roman"/>
          <w:color w:val="000000"/>
        </w:rPr>
        <w:t xml:space="preserve"> сприяння діяльності промисловим підприємствам основного кола та популяризації їх промислового потенціалу.  </w:t>
      </w:r>
    </w:p>
    <w:p w:rsidR="0095431F" w:rsidRPr="0095431F" w:rsidRDefault="0095431F" w:rsidP="0095431F">
      <w:pPr>
        <w:shd w:val="clear" w:color="auto" w:fill="FFFFFF"/>
        <w:ind w:firstLine="708"/>
        <w:jc w:val="both"/>
        <w:outlineLvl w:val="0"/>
        <w:rPr>
          <w:rFonts w:cs="Times New Roman"/>
          <w:color w:val="000000"/>
        </w:rPr>
      </w:pPr>
      <w:r w:rsidRPr="0095431F">
        <w:rPr>
          <w:rFonts w:cs="Times New Roman"/>
          <w:color w:val="000000"/>
        </w:rPr>
        <w:t xml:space="preserve">Здійснюється постійна співпраця з Дорадчою радою при міському голові. Протягом року проведено 4 засідання. Під час засідання 06.03.2019р. заслухано звіт голови Дорадчої ради про підсумки діяльності за 2018 рік, оновлено склад Дорадчої ради, обговорено основні напрямки роботи ради у 2019 році та підписано Меморандум про співпрацю між Івано-Франківською міською радою та Асоціацією "Український національний комітет Міжнародної торгової палати" (ICC Ukraine). 20.08.2019р. проведено чергове </w:t>
      </w:r>
      <w:r w:rsidRPr="0095431F">
        <w:rPr>
          <w:rFonts w:cs="Times New Roman"/>
          <w:color w:val="000000"/>
        </w:rPr>
        <w:lastRenderedPageBreak/>
        <w:t>засідання Дорадчої ради, під час якого обговорено соціально-економічний розвиток міста у порівнянні з окремими обласними центрами України, підсумки діяльності промислових підприємств у І–му півріччі, проблемні питання, які стосувалися їх поточної діяльності та шляхи вирішення. В засіданнях Дорадчої ради постійно беруть участь понад 30 керівників промислових підприємств, представники Головного управління статистики в Івано-Франківській обл., Головного управління ДФС в Івано-Франківській обл. та інші.</w:t>
      </w:r>
    </w:p>
    <w:p w:rsidR="0095431F" w:rsidRPr="0095431F" w:rsidRDefault="0095431F" w:rsidP="0095431F">
      <w:pPr>
        <w:shd w:val="clear" w:color="auto" w:fill="FFFFFF"/>
        <w:ind w:firstLine="708"/>
        <w:jc w:val="both"/>
        <w:outlineLvl w:val="0"/>
        <w:rPr>
          <w:rFonts w:cs="Times New Roman"/>
          <w:color w:val="000000"/>
        </w:rPr>
      </w:pPr>
      <w:r w:rsidRPr="0095431F">
        <w:rPr>
          <w:rFonts w:cs="Times New Roman"/>
          <w:color w:val="000000"/>
        </w:rPr>
        <w:t xml:space="preserve">З метою вирішення актуальних проблем місцевого підприємництва постійно функціонує Рада підприємців при виконавчому комітеті Івано-Франківської міської ради. Протягом року проведено 3 засідання, під час яких обговорено проекти регуляторних актів, нововведення щодо підприємницької діяльності, які пропонувалися до законопроектів Верховної Ради України, зміни в трудовому законодавстві, особливості здійснення експортних операцій, співпраця з Торгово – промисловою палатою. </w:t>
      </w:r>
    </w:p>
    <w:p w:rsidR="0095431F" w:rsidRPr="0095431F" w:rsidRDefault="0095431F" w:rsidP="0095431F">
      <w:pPr>
        <w:shd w:val="clear" w:color="auto" w:fill="FFFFFF"/>
        <w:ind w:firstLine="708"/>
        <w:jc w:val="both"/>
        <w:outlineLvl w:val="0"/>
        <w:rPr>
          <w:rFonts w:cs="Times New Roman"/>
          <w:color w:val="000000"/>
        </w:rPr>
      </w:pPr>
      <w:r w:rsidRPr="0095431F">
        <w:rPr>
          <w:rFonts w:cs="Times New Roman"/>
          <w:color w:val="000000"/>
        </w:rPr>
        <w:t xml:space="preserve">Під час засідань Дорадчої ради, </w:t>
      </w:r>
      <w:proofErr w:type="gramStart"/>
      <w:r w:rsidRPr="0095431F">
        <w:rPr>
          <w:rFonts w:cs="Times New Roman"/>
          <w:color w:val="000000"/>
        </w:rPr>
        <w:t>Ради</w:t>
      </w:r>
      <w:proofErr w:type="gramEnd"/>
      <w:r w:rsidRPr="0095431F">
        <w:rPr>
          <w:rFonts w:cs="Times New Roman"/>
          <w:color w:val="000000"/>
        </w:rPr>
        <w:t xml:space="preserve"> підприємців з керівниками підприємств та підприємцями постійно обговорюються питання працевлаштування мешканців міста, здійснюється аналіз факторів, які впливають на рівень зайнятості в місті, узагальнюються пропозиції щодо забезпечення його зростання, проводиться інформаційно - роз’яснювальна робота щодо вжиття заходів з метою популяризації робітничих професій та здійснюються роз’яснення виконання вимог Закону України "Про зайнятість населення".</w:t>
      </w:r>
    </w:p>
    <w:p w:rsidR="0095431F" w:rsidRPr="0095431F" w:rsidRDefault="0095431F" w:rsidP="0095431F">
      <w:pPr>
        <w:shd w:val="clear" w:color="auto" w:fill="FFFFFF"/>
        <w:ind w:firstLine="708"/>
        <w:jc w:val="both"/>
        <w:outlineLvl w:val="0"/>
        <w:rPr>
          <w:rFonts w:cs="Times New Roman"/>
          <w:color w:val="000000"/>
        </w:rPr>
      </w:pPr>
      <w:r w:rsidRPr="0095431F">
        <w:rPr>
          <w:rFonts w:cs="Times New Roman"/>
          <w:color w:val="000000"/>
        </w:rPr>
        <w:t xml:space="preserve">З метою популяризації місцевої продукції та сприяння в реалізації місцевим товаровиробникам проводяться промоційні акції, щорічні передсвяткові ярмарки, тематичні фестивалі тощо. 24-26 квітня 2019 року одночасно з передвеликоднім ярмарком проведено акцію "Купуємо івано-франківське – даємо роботу іванофранківцям. </w:t>
      </w:r>
      <w:r w:rsidR="00EF2469">
        <w:rPr>
          <w:rFonts w:cs="Times New Roman"/>
          <w:color w:val="000000"/>
          <w:lang w:val="uk-UA"/>
        </w:rPr>
        <w:t>У</w:t>
      </w:r>
      <w:r w:rsidRPr="0095431F">
        <w:rPr>
          <w:rFonts w:cs="Times New Roman"/>
          <w:color w:val="000000"/>
        </w:rPr>
        <w:t xml:space="preserve"> ході акції були проведені конкурси на великодню тематику. Участь </w:t>
      </w:r>
      <w:proofErr w:type="gramStart"/>
      <w:r w:rsidRPr="0095431F">
        <w:rPr>
          <w:rFonts w:cs="Times New Roman"/>
          <w:color w:val="000000"/>
        </w:rPr>
        <w:t>у ярмарку</w:t>
      </w:r>
      <w:proofErr w:type="gramEnd"/>
      <w:r w:rsidRPr="0095431F">
        <w:rPr>
          <w:rFonts w:cs="Times New Roman"/>
          <w:color w:val="000000"/>
        </w:rPr>
        <w:t xml:space="preserve"> та акції взяли понад 100 суб’єктів господарювання, серед яких близько 10-ти промислових місцевих харчопереробних підприємств. У серпні – вересні організовано і проведено два тематичні фестивалі "Меди Прикарпаття" </w:t>
      </w:r>
      <w:r w:rsidR="00EF2469">
        <w:rPr>
          <w:rFonts w:cs="Times New Roman"/>
          <w:color w:val="000000"/>
          <w:lang w:val="uk-UA"/>
        </w:rPr>
        <w:t>і</w:t>
      </w:r>
      <w:r w:rsidRPr="0095431F">
        <w:rPr>
          <w:rFonts w:cs="Times New Roman"/>
          <w:color w:val="000000"/>
        </w:rPr>
        <w:t xml:space="preserve"> "Свято хліба та сир</w:t>
      </w:r>
      <w:r w:rsidR="00EF2469">
        <w:rPr>
          <w:rFonts w:cs="Times New Roman"/>
          <w:color w:val="000000"/>
        </w:rPr>
        <w:t>у"</w:t>
      </w:r>
      <w:r w:rsidR="00EF2469">
        <w:rPr>
          <w:rFonts w:cs="Times New Roman"/>
          <w:color w:val="000000"/>
          <w:lang w:val="uk-UA"/>
        </w:rPr>
        <w:t>, в яких взяли</w:t>
      </w:r>
      <w:r w:rsidRPr="0095431F">
        <w:rPr>
          <w:rFonts w:cs="Times New Roman"/>
          <w:color w:val="000000"/>
        </w:rPr>
        <w:t xml:space="preserve"> участ</w:t>
      </w:r>
      <w:r w:rsidR="00EF2469">
        <w:rPr>
          <w:rFonts w:cs="Times New Roman"/>
          <w:color w:val="000000"/>
          <w:lang w:val="uk-UA"/>
        </w:rPr>
        <w:t>ь</w:t>
      </w:r>
      <w:r w:rsidRPr="0095431F">
        <w:rPr>
          <w:rFonts w:cs="Times New Roman"/>
          <w:color w:val="000000"/>
        </w:rPr>
        <w:t xml:space="preserve"> понад 50 місцевих виробників та підприємців - хлібопекарів </w:t>
      </w:r>
      <w:r w:rsidR="00EF2469">
        <w:rPr>
          <w:rFonts w:cs="Times New Roman"/>
          <w:color w:val="000000"/>
          <w:lang w:val="uk-UA"/>
        </w:rPr>
        <w:t>і</w:t>
      </w:r>
      <w:r w:rsidRPr="0095431F">
        <w:rPr>
          <w:rFonts w:cs="Times New Roman"/>
          <w:color w:val="000000"/>
        </w:rPr>
        <w:t xml:space="preserve"> сироварів регіону. Під час "Свята хліба та сиру" за вагомі здобутки у трудовій діяльності 11 працівників хлібопекарської галузі відзначено подяками міського голови.</w:t>
      </w:r>
    </w:p>
    <w:p w:rsidR="0095431F" w:rsidRPr="00DD2FB5" w:rsidRDefault="00A84EDA" w:rsidP="0095431F">
      <w:pPr>
        <w:shd w:val="clear" w:color="auto" w:fill="FFFFFF"/>
        <w:ind w:firstLine="708"/>
        <w:jc w:val="both"/>
        <w:outlineLvl w:val="0"/>
        <w:rPr>
          <w:rFonts w:cs="Times New Roman"/>
          <w:color w:val="000000"/>
          <w:lang w:val="uk-UA"/>
        </w:rPr>
      </w:pPr>
      <w:r>
        <w:rPr>
          <w:rFonts w:cs="Times New Roman"/>
          <w:color w:val="000000"/>
          <w:lang w:val="uk-UA"/>
        </w:rPr>
        <w:t>З</w:t>
      </w:r>
      <w:r w:rsidRPr="0095431F">
        <w:rPr>
          <w:rFonts w:cs="Times New Roman"/>
          <w:color w:val="000000"/>
        </w:rPr>
        <w:t xml:space="preserve"> метою вшанування лідерів економічного та соціального розвитку міста за підсумками року </w:t>
      </w:r>
      <w:r>
        <w:rPr>
          <w:rFonts w:cs="Times New Roman"/>
          <w:color w:val="000000"/>
          <w:lang w:val="uk-UA"/>
        </w:rPr>
        <w:t>у</w:t>
      </w:r>
      <w:r w:rsidRPr="0095431F">
        <w:rPr>
          <w:rFonts w:cs="Times New Roman"/>
          <w:color w:val="000000"/>
        </w:rPr>
        <w:t xml:space="preserve"> </w:t>
      </w:r>
      <w:r>
        <w:rPr>
          <w:rFonts w:cs="Times New Roman"/>
          <w:color w:val="000000"/>
          <w:lang w:val="uk-UA"/>
        </w:rPr>
        <w:t xml:space="preserve">квітні </w:t>
      </w:r>
      <w:r w:rsidRPr="0095431F">
        <w:rPr>
          <w:rFonts w:cs="Times New Roman"/>
          <w:color w:val="000000"/>
        </w:rPr>
        <w:t>2019 ро</w:t>
      </w:r>
      <w:r>
        <w:rPr>
          <w:rFonts w:cs="Times New Roman"/>
          <w:color w:val="000000"/>
          <w:lang w:val="uk-UA"/>
        </w:rPr>
        <w:t>ку</w:t>
      </w:r>
      <w:r w:rsidRPr="0095431F">
        <w:rPr>
          <w:rFonts w:cs="Times New Roman"/>
          <w:color w:val="000000"/>
        </w:rPr>
        <w:t xml:space="preserve"> </w:t>
      </w:r>
      <w:r>
        <w:rPr>
          <w:rFonts w:cs="Times New Roman"/>
          <w:color w:val="000000"/>
          <w:lang w:val="uk-UA"/>
        </w:rPr>
        <w:t xml:space="preserve">вже в шістнадцяте </w:t>
      </w:r>
      <w:r w:rsidR="0095431F" w:rsidRPr="0095431F">
        <w:rPr>
          <w:rFonts w:cs="Times New Roman"/>
          <w:color w:val="000000"/>
        </w:rPr>
        <w:t xml:space="preserve">організовано та проведено </w:t>
      </w:r>
      <w:r>
        <w:rPr>
          <w:rFonts w:cs="Times New Roman"/>
          <w:color w:val="000000"/>
          <w:lang w:val="uk-UA"/>
        </w:rPr>
        <w:t xml:space="preserve">акцію </w:t>
      </w:r>
      <w:r w:rsidR="0095431F" w:rsidRPr="00DD2FB5">
        <w:rPr>
          <w:rFonts w:cs="Times New Roman"/>
          <w:color w:val="000000"/>
          <w:lang w:val="uk-UA"/>
        </w:rPr>
        <w:t>"Тріумф-2018"</w:t>
      </w:r>
      <w:r>
        <w:rPr>
          <w:rFonts w:cs="Times New Roman"/>
          <w:color w:val="000000"/>
          <w:lang w:val="uk-UA"/>
        </w:rPr>
        <w:t xml:space="preserve"> в новому форматі</w:t>
      </w:r>
      <w:r w:rsidR="0095431F" w:rsidRPr="00DD2FB5">
        <w:rPr>
          <w:rFonts w:cs="Times New Roman"/>
          <w:color w:val="000000"/>
          <w:lang w:val="uk-UA"/>
        </w:rPr>
        <w:t xml:space="preserve">. До участі у шести номінаціях, що стосувалися промислової галузі, залучено ряд успішних промислових підприємств та суб’єктів господарювання малого бізнесу Івано-Франківська. Кращі за економічними показниками підприємці були нагороджені у номінаціях: "Лідер розвитку креативної економіки", "Високотехнологічне  промислове підприємство року", "Відроджене промислове підприємство", "Підприємство -  сумлінний платник податку", </w:t>
      </w:r>
      <w:r w:rsidR="0095431F" w:rsidRPr="00DD2FB5">
        <w:rPr>
          <w:rFonts w:cs="Times New Roman"/>
          <w:color w:val="000000"/>
          <w:lang w:val="uk-UA"/>
        </w:rPr>
        <w:lastRenderedPageBreak/>
        <w:t>"Кращий заклад автентичної кухні" та "Краще підприємство з відродження історично-архітектурної спадщини".</w:t>
      </w:r>
    </w:p>
    <w:p w:rsidR="0095431F" w:rsidRPr="0095431F" w:rsidRDefault="0095431F" w:rsidP="0095431F">
      <w:pPr>
        <w:shd w:val="clear" w:color="auto" w:fill="FFFFFF"/>
        <w:ind w:firstLine="708"/>
        <w:jc w:val="both"/>
        <w:outlineLvl w:val="0"/>
        <w:rPr>
          <w:rFonts w:cs="Times New Roman"/>
          <w:color w:val="000000"/>
        </w:rPr>
      </w:pPr>
      <w:r w:rsidRPr="0095431F">
        <w:rPr>
          <w:rFonts w:cs="Times New Roman"/>
          <w:color w:val="000000"/>
        </w:rPr>
        <w:t xml:space="preserve">Організовано та проведено урочистості до відзначення Дня підприємця 13.09.2019р. 10 кращих платників податків – представників малого та середнього бізнесу Івано-Франківська нагороджено грамотами виконавчого комітету та відзначено подяками міського голови. Опрацьовано з керівниками підприємств та подано пропозиції щодо нагородження </w:t>
      </w:r>
      <w:r w:rsidR="00E65C41">
        <w:rPr>
          <w:rFonts w:cs="Times New Roman"/>
          <w:color w:val="000000"/>
          <w:lang w:val="uk-UA"/>
        </w:rPr>
        <w:t>працівників до професійних свят</w:t>
      </w:r>
      <w:r w:rsidRPr="0095431F">
        <w:rPr>
          <w:rFonts w:cs="Times New Roman"/>
          <w:color w:val="000000"/>
        </w:rPr>
        <w:t>.</w:t>
      </w:r>
    </w:p>
    <w:p w:rsidR="0095431F" w:rsidRDefault="0095431F" w:rsidP="0095431F">
      <w:pPr>
        <w:shd w:val="clear" w:color="auto" w:fill="FFFFFF"/>
        <w:ind w:firstLine="708"/>
        <w:outlineLvl w:val="0"/>
        <w:rPr>
          <w:sz w:val="24"/>
          <w:szCs w:val="24"/>
        </w:rPr>
      </w:pPr>
    </w:p>
    <w:p w:rsidR="007B5FC8" w:rsidRPr="00EE7357" w:rsidRDefault="007B5FC8" w:rsidP="007B5FC8">
      <w:pPr>
        <w:ind w:firstLine="700"/>
        <w:jc w:val="both"/>
        <w:outlineLvl w:val="0"/>
        <w:rPr>
          <w:i/>
          <w:lang w:val="uk-UA"/>
        </w:rPr>
      </w:pPr>
      <w:r w:rsidRPr="00EE7357">
        <w:rPr>
          <w:i/>
          <w:lang w:val="uk-UA"/>
        </w:rPr>
        <w:t>2.2 Енергозбереження,енергоефективність, екологія</w:t>
      </w:r>
    </w:p>
    <w:p w:rsidR="007B5FC8" w:rsidRPr="00EE7357" w:rsidRDefault="007B5FC8" w:rsidP="007B5FC8">
      <w:pPr>
        <w:pStyle w:val="af1"/>
        <w:tabs>
          <w:tab w:val="left" w:pos="993"/>
        </w:tabs>
        <w:ind w:left="0" w:firstLine="709"/>
        <w:jc w:val="both"/>
        <w:rPr>
          <w:sz w:val="28"/>
          <w:szCs w:val="28"/>
          <w:lang w:val="uk-UA"/>
        </w:rPr>
      </w:pPr>
      <w:r w:rsidRPr="00EE7357">
        <w:rPr>
          <w:sz w:val="28"/>
          <w:szCs w:val="28"/>
          <w:lang w:val="uk-UA"/>
        </w:rPr>
        <w:t>В умовах постійного зростання цін на основні види енергоресурсів особливої актуальності набувають питання енергозбереження та підвищення енергоефективності в закладах та установах, що фінансуються з міського бюджету, а також на підприємствах комунальної власності.</w:t>
      </w:r>
    </w:p>
    <w:p w:rsidR="00EE7357" w:rsidRPr="009C5286" w:rsidRDefault="00EE7357" w:rsidP="00EE7357">
      <w:pPr>
        <w:ind w:firstLine="709"/>
        <w:jc w:val="both"/>
        <w:rPr>
          <w:lang w:val="uk-UA"/>
        </w:rPr>
      </w:pPr>
      <w:r w:rsidRPr="009C5286">
        <w:rPr>
          <w:lang w:val="uk-UA"/>
        </w:rPr>
        <w:t>Впродовж 2019 року здійснювалося забезпеч</w:t>
      </w:r>
      <w:r w:rsidRPr="009C5286">
        <w:rPr>
          <w:spacing w:val="-4"/>
          <w:lang w:val="uk-UA"/>
        </w:rPr>
        <w:t xml:space="preserve">ення </w:t>
      </w:r>
      <w:r w:rsidR="00230B72">
        <w:rPr>
          <w:spacing w:val="-4"/>
          <w:lang w:val="uk-UA"/>
        </w:rPr>
        <w:t>та</w:t>
      </w:r>
      <w:r w:rsidRPr="009C5286">
        <w:rPr>
          <w:spacing w:val="-4"/>
          <w:lang w:val="uk-UA"/>
        </w:rPr>
        <w:t xml:space="preserve"> вдосконалення функціонування </w:t>
      </w:r>
      <w:r w:rsidRPr="009C5286">
        <w:rPr>
          <w:lang w:val="uk-UA"/>
        </w:rPr>
        <w:t xml:space="preserve">єдиної </w:t>
      </w:r>
      <w:r w:rsidRPr="009C5286">
        <w:rPr>
          <w:spacing w:val="-4"/>
          <w:lang w:val="uk-UA"/>
        </w:rPr>
        <w:t>автоматизованої системи моніторингу і аналізу споживання енергоносіїв та комунальних послуг</w:t>
      </w:r>
      <w:r w:rsidRPr="009C5286">
        <w:rPr>
          <w:lang w:val="uk-UA"/>
        </w:rPr>
        <w:t xml:space="preserve"> закладами бюджетної сфери. До роботи у системі залучен</w:t>
      </w:r>
      <w:r w:rsidR="00230B72">
        <w:rPr>
          <w:lang w:val="uk-UA"/>
        </w:rPr>
        <w:t>о</w:t>
      </w:r>
      <w:r w:rsidRPr="009C5286">
        <w:rPr>
          <w:lang w:val="uk-UA"/>
        </w:rPr>
        <w:t xml:space="preserve"> 95 закладів освіти (за програмою, розробленою ТОВ "ФІАТУ"), а також усі 57 будівель закладів охорони здоров’я та культури (програма "</w:t>
      </w:r>
      <w:r w:rsidRPr="00422E41">
        <w:rPr>
          <w:lang w:val="en-US"/>
        </w:rPr>
        <w:t>Smart</w:t>
      </w:r>
      <w:r w:rsidRPr="009C5286">
        <w:rPr>
          <w:lang w:val="uk-UA"/>
        </w:rPr>
        <w:t xml:space="preserve"> </w:t>
      </w:r>
      <w:r w:rsidRPr="00422E41">
        <w:rPr>
          <w:lang w:val="en-US"/>
        </w:rPr>
        <w:t>City</w:t>
      </w:r>
      <w:r w:rsidRPr="009C5286">
        <w:rPr>
          <w:lang w:val="uk-UA"/>
        </w:rPr>
        <w:t>" компанії ТОВ "</w:t>
      </w:r>
      <w:r w:rsidRPr="00422E41">
        <w:rPr>
          <w:lang w:val="en-US"/>
        </w:rPr>
        <w:t>uMuni</w:t>
      </w:r>
      <w:r w:rsidRPr="009C5286">
        <w:rPr>
          <w:lang w:val="uk-UA"/>
        </w:rPr>
        <w:t>"), якими вноситься до баз даних обох систем інформація про споживання усіх видів енергоносіїв.</w:t>
      </w:r>
    </w:p>
    <w:p w:rsidR="00EE7357" w:rsidRPr="00422E41" w:rsidRDefault="00EE7357" w:rsidP="00EE7357">
      <w:pPr>
        <w:widowControl w:val="0"/>
        <w:ind w:firstLine="709"/>
        <w:jc w:val="both"/>
      </w:pPr>
      <w:r w:rsidRPr="00FC35A9">
        <w:rPr>
          <w:lang w:val="uk-UA"/>
        </w:rPr>
        <w:t xml:space="preserve">Постійно здійснюється моніторинг </w:t>
      </w:r>
      <w:r w:rsidRPr="00FC35A9">
        <w:rPr>
          <w:spacing w:val="-2"/>
          <w:lang w:val="uk-UA"/>
        </w:rPr>
        <w:t>використання ене</w:t>
      </w:r>
      <w:r w:rsidRPr="00FC35A9">
        <w:rPr>
          <w:lang w:val="uk-UA"/>
        </w:rPr>
        <w:t xml:space="preserve">ргоресурсів установами та закладами, що фінансуються з міського бюджету, щоквартально – аналіз дотримання встановлених </w:t>
      </w:r>
      <w:r w:rsidRPr="00FC35A9">
        <w:rPr>
          <w:spacing w:val="-2"/>
          <w:lang w:val="uk-UA"/>
        </w:rPr>
        <w:t xml:space="preserve">лімітів та виконання планів заходів з енергозбереження, які щороку затверджуються відповідними </w:t>
      </w:r>
      <w:r w:rsidRPr="00FC35A9">
        <w:rPr>
          <w:lang w:val="uk-UA"/>
        </w:rPr>
        <w:t xml:space="preserve">рішеннями виконавчого комітету міської ради. </w:t>
      </w:r>
      <w:r w:rsidRPr="00422E41">
        <w:t>Результати моніторингу свідчать про те, що контроль за споживанням енергоресурсів у бюджетних закладах, здійснення заходів з енергозбереження та підвищення енергоефективності будівель дозволяють істотно скорочувати видатки на оплату енергоносіїв. Так, завдяки реалізації І етапу проєкту "Підвищення енергоефективності об’єктів бюджетної сфери міста Івано-Франківська" та впровадженню інших енергоефективних заходів річна економія коштів на оплату енергоносіїв зросла з 13,15 млн грн у 2016 році до 18,08 млн грн у 2018 році. Тільки за 10 місяців 2019 року ця економія склала 16,53 млн грн.</w:t>
      </w:r>
    </w:p>
    <w:p w:rsidR="00EE7357" w:rsidRPr="00422E41" w:rsidRDefault="00EE7357" w:rsidP="00EE7357">
      <w:pPr>
        <w:widowControl w:val="0"/>
        <w:ind w:firstLine="709"/>
        <w:jc w:val="both"/>
      </w:pPr>
      <w:r w:rsidRPr="00422E41">
        <w:t>Розпочато роботу із встановлення у бюджетних закладах міста засобів дистанційної передачі даних про споживання енергоносіїв та заміни приладів їх обліку на сучасні, що дозволяють автоматизувати збір та передачу цих даних через Інтернет.</w:t>
      </w:r>
    </w:p>
    <w:p w:rsidR="00EE7357" w:rsidRPr="00422E41" w:rsidRDefault="00EE7357" w:rsidP="00EE7357">
      <w:pPr>
        <w:ind w:firstLine="709"/>
        <w:jc w:val="both"/>
        <w:rPr>
          <w:lang w:eastAsia="uk-UA"/>
        </w:rPr>
      </w:pPr>
      <w:proofErr w:type="gramStart"/>
      <w:r w:rsidRPr="00422E41">
        <w:t>У рамках</w:t>
      </w:r>
      <w:proofErr w:type="gramEnd"/>
      <w:r w:rsidRPr="00422E41">
        <w:t xml:space="preserve"> відзначення Днів сталої енергії </w:t>
      </w:r>
      <w:r w:rsidRPr="00422E41">
        <w:rPr>
          <w:lang w:eastAsia="uk-UA"/>
        </w:rPr>
        <w:t xml:space="preserve">у вересні-жовтні </w:t>
      </w:r>
      <w:r w:rsidR="00230B72">
        <w:rPr>
          <w:lang w:val="uk-UA" w:eastAsia="uk-UA"/>
        </w:rPr>
        <w:t xml:space="preserve">2019 року </w:t>
      </w:r>
      <w:r w:rsidRPr="00422E41">
        <w:rPr>
          <w:lang w:eastAsia="uk-UA"/>
        </w:rPr>
        <w:t>спільно з Департаментом освіти та науки і ІФНТУНГ проведено загальноміські учнівські тематичні конкурси проєктів "Енергозбереження – твоє безпечне майбутнє", плакатів "Наш дім – планета" та конкурс на кращий учнівський енергоаудит.</w:t>
      </w:r>
    </w:p>
    <w:p w:rsidR="00EE7357" w:rsidRPr="00230B72" w:rsidRDefault="00EE7357" w:rsidP="00EE7357">
      <w:pPr>
        <w:ind w:firstLine="709"/>
        <w:jc w:val="both"/>
        <w:rPr>
          <w:lang w:val="uk-UA" w:eastAsia="uk-UA"/>
        </w:rPr>
      </w:pPr>
      <w:r w:rsidRPr="00422E41">
        <w:rPr>
          <w:lang w:eastAsia="uk-UA"/>
        </w:rPr>
        <w:t xml:space="preserve">Переможці цих конкурсів відзначені призами (книги, настільні ігри), придбаними за сприяння управління економічного та інтеграційного розвитку, сертифікатами на безкоштовні навчальні курси у "Новій енергії" та дипломами </w:t>
      </w:r>
      <w:r w:rsidRPr="00422E41">
        <w:rPr>
          <w:lang w:eastAsia="uk-UA"/>
        </w:rPr>
        <w:lastRenderedPageBreak/>
        <w:t>Департаменту освіти та науки міської ради.</w:t>
      </w:r>
      <w:r>
        <w:rPr>
          <w:lang w:eastAsia="uk-UA"/>
        </w:rPr>
        <w:t xml:space="preserve"> </w:t>
      </w:r>
      <w:r w:rsidRPr="00422E41">
        <w:rPr>
          <w:lang w:eastAsia="uk-UA"/>
        </w:rPr>
        <w:t xml:space="preserve">Нагородження переможців конкурсів відбулося </w:t>
      </w:r>
      <w:r w:rsidR="00230B72" w:rsidRPr="00422E41">
        <w:rPr>
          <w:lang w:eastAsia="uk-UA"/>
        </w:rPr>
        <w:t xml:space="preserve">25 жовтня </w:t>
      </w:r>
      <w:r w:rsidRPr="00422E41">
        <w:rPr>
          <w:lang w:eastAsia="uk-UA"/>
        </w:rPr>
        <w:t>під час концерту, п</w:t>
      </w:r>
      <w:r w:rsidR="00230B72">
        <w:rPr>
          <w:lang w:eastAsia="uk-UA"/>
        </w:rPr>
        <w:t>рисвяченого Дням сталої енергії</w:t>
      </w:r>
      <w:r w:rsidRPr="00422E41">
        <w:rPr>
          <w:lang w:eastAsia="uk-UA"/>
        </w:rPr>
        <w:t xml:space="preserve">. На концерті виступили колективи </w:t>
      </w:r>
      <w:r w:rsidR="00230B72">
        <w:rPr>
          <w:lang w:val="uk-UA" w:eastAsia="uk-UA"/>
        </w:rPr>
        <w:t>м</w:t>
      </w:r>
      <w:r w:rsidRPr="00422E41">
        <w:rPr>
          <w:lang w:eastAsia="uk-UA"/>
        </w:rPr>
        <w:t xml:space="preserve">іського </w:t>
      </w:r>
      <w:r w:rsidR="00230B72">
        <w:rPr>
          <w:lang w:val="uk-UA" w:eastAsia="uk-UA"/>
        </w:rPr>
        <w:t>ц</w:t>
      </w:r>
      <w:r w:rsidRPr="00422E41">
        <w:rPr>
          <w:lang w:eastAsia="uk-UA"/>
        </w:rPr>
        <w:t>ентру дозвілля дітей та юнацтва за місцем проживання.</w:t>
      </w:r>
    </w:p>
    <w:p w:rsidR="00EE7357" w:rsidRPr="00422E41" w:rsidRDefault="00EE7357" w:rsidP="00EE7357">
      <w:pPr>
        <w:widowControl w:val="0"/>
        <w:ind w:firstLine="709"/>
        <w:jc w:val="both"/>
        <w:rPr>
          <w:rFonts w:eastAsia="Calibri"/>
        </w:rPr>
      </w:pPr>
      <w:r w:rsidRPr="00422E41">
        <w:rPr>
          <w:rFonts w:eastAsia="Calibri"/>
        </w:rPr>
        <w:t>Відповідно до "Програми охорони навколишнього природного середовища м.Івано-Франківська на 2016-2020 роки" підготовлено і подано у встановленому порядку в управління екології та природних ресурсів облдержадміністрації 9 запитів на виділення з обласного фонду охорони навк</w:t>
      </w:r>
      <w:r>
        <w:rPr>
          <w:rFonts w:eastAsia="Calibri"/>
        </w:rPr>
        <w:t>олишнього природного середовища</w:t>
      </w:r>
      <w:r w:rsidRPr="00422E41">
        <w:rPr>
          <w:rFonts w:eastAsia="Calibri"/>
        </w:rPr>
        <w:t xml:space="preserve"> коштів на реалізацію природоохоронних заходів на території міської ради у 2019 році і 13 запитів на загальну суму 22</w:t>
      </w:r>
      <w:r>
        <w:rPr>
          <w:rFonts w:eastAsia="Calibri"/>
        </w:rPr>
        <w:t>,0 млн</w:t>
      </w:r>
      <w:r w:rsidRPr="00422E41">
        <w:rPr>
          <w:rFonts w:eastAsia="Calibri"/>
        </w:rPr>
        <w:t xml:space="preserve"> грн – на природоохоронні заходи у 2020 році. </w:t>
      </w:r>
      <w:r w:rsidR="001C1B07">
        <w:rPr>
          <w:rFonts w:eastAsia="Calibri"/>
          <w:lang w:val="uk-UA"/>
        </w:rPr>
        <w:t>У</w:t>
      </w:r>
      <w:r w:rsidR="001C1B07" w:rsidRPr="00422E41">
        <w:rPr>
          <w:rFonts w:eastAsia="Calibri"/>
        </w:rPr>
        <w:t xml:space="preserve"> 2019 році </w:t>
      </w:r>
      <w:r w:rsidRPr="00422E41">
        <w:rPr>
          <w:rFonts w:eastAsia="Calibri"/>
        </w:rPr>
        <w:t xml:space="preserve">на подані запити з обласного фонду виділено 1852 тис. грн. </w:t>
      </w:r>
    </w:p>
    <w:p w:rsidR="00EE7357" w:rsidRPr="00422E41" w:rsidRDefault="00EE7357" w:rsidP="00EE7357">
      <w:pPr>
        <w:widowControl w:val="0"/>
        <w:ind w:firstLine="709"/>
        <w:jc w:val="both"/>
        <w:rPr>
          <w:rFonts w:eastAsia="Calibri"/>
        </w:rPr>
      </w:pPr>
      <w:r w:rsidRPr="00422E41">
        <w:rPr>
          <w:rFonts w:eastAsia="Calibri"/>
        </w:rPr>
        <w:t xml:space="preserve">Підготовлено необхідні документи і організовано проведення 2 засідань комісії з розподілу коштів міського фонду охорони навколишнього природного середовища, на підставі прийнятих рішень виділено кошти Департаменту житлової, комунальної політики та благоустрою і </w:t>
      </w:r>
      <w:r w:rsidR="001C1B07">
        <w:rPr>
          <w:rFonts w:eastAsia="Calibri"/>
          <w:lang w:val="uk-UA"/>
        </w:rPr>
        <w:t>м</w:t>
      </w:r>
      <w:r w:rsidRPr="00422E41">
        <w:rPr>
          <w:rFonts w:eastAsia="Calibri"/>
        </w:rPr>
        <w:t>іській дитячій екологічній станції на суму 429 тис. грн.</w:t>
      </w:r>
    </w:p>
    <w:p w:rsidR="007B5FC8" w:rsidRPr="00C34F3B" w:rsidRDefault="007B5FC8" w:rsidP="007B5FC8">
      <w:pPr>
        <w:pStyle w:val="af1"/>
        <w:tabs>
          <w:tab w:val="left" w:pos="1134"/>
        </w:tabs>
        <w:ind w:left="0" w:firstLine="709"/>
        <w:jc w:val="both"/>
        <w:rPr>
          <w:sz w:val="28"/>
          <w:szCs w:val="28"/>
          <w:lang w:val="uk-UA"/>
        </w:rPr>
      </w:pPr>
      <w:r w:rsidRPr="00C34F3B">
        <w:rPr>
          <w:sz w:val="28"/>
          <w:szCs w:val="28"/>
          <w:lang w:val="uk-UA"/>
        </w:rPr>
        <w:t>Не менш важливим напр</w:t>
      </w:r>
      <w:r w:rsidR="001C1B07">
        <w:rPr>
          <w:sz w:val="28"/>
          <w:szCs w:val="28"/>
          <w:lang w:val="uk-UA"/>
        </w:rPr>
        <w:t>ямком роботи є впровадження проє</w:t>
      </w:r>
      <w:r w:rsidRPr="00C34F3B">
        <w:rPr>
          <w:sz w:val="28"/>
          <w:szCs w:val="28"/>
          <w:lang w:val="uk-UA"/>
        </w:rPr>
        <w:t>кту  "Підвищення енергоефективності об’єктів бюджетної сфери міста Івано-Франківськ" (І та ІІ етапи), який реалізовується за підтримки Північної Екологічної Фінансової корпорації НЕФКО та Фонду E5P.</w:t>
      </w:r>
    </w:p>
    <w:p w:rsidR="00EE7357" w:rsidRDefault="00EE7357" w:rsidP="00EE7357">
      <w:pPr>
        <w:widowControl w:val="0"/>
        <w:tabs>
          <w:tab w:val="left" w:pos="570"/>
        </w:tabs>
        <w:suppressAutoHyphens/>
        <w:autoSpaceDE w:val="0"/>
        <w:ind w:left="570" w:firstLine="139"/>
        <w:jc w:val="both"/>
        <w:rPr>
          <w:lang w:val="uk-UA"/>
        </w:rPr>
      </w:pPr>
      <w:r>
        <w:t xml:space="preserve">Проект реалізується в ІІ етапи. До І-го етапу увійшли 7 об’єктів освіти: </w:t>
      </w:r>
      <w:r>
        <w:rPr>
          <w:lang w:val="uk-UA"/>
        </w:rPr>
        <w:t xml:space="preserve">- </w:t>
      </w:r>
      <w:r w:rsidR="001C1B07">
        <w:t xml:space="preserve">ДНЗ №16 </w:t>
      </w:r>
      <w:r w:rsidR="001C1B07">
        <w:rPr>
          <w:lang w:val="uk-UA"/>
        </w:rPr>
        <w:t>"</w:t>
      </w:r>
      <w:r>
        <w:t>Сонечко</w:t>
      </w:r>
      <w:r w:rsidR="001C1B07">
        <w:rPr>
          <w:lang w:val="uk-UA"/>
        </w:rPr>
        <w:t>"</w:t>
      </w:r>
      <w:r>
        <w:t xml:space="preserve"> по вул. Короля Данила, 15а; </w:t>
      </w:r>
    </w:p>
    <w:p w:rsidR="00EE7357" w:rsidRDefault="00EE7357" w:rsidP="00EE7357">
      <w:pPr>
        <w:widowControl w:val="0"/>
        <w:tabs>
          <w:tab w:val="left" w:pos="570"/>
        </w:tabs>
        <w:suppressAutoHyphens/>
        <w:autoSpaceDE w:val="0"/>
        <w:ind w:firstLine="567"/>
        <w:jc w:val="both"/>
        <w:rPr>
          <w:lang w:val="uk-UA"/>
        </w:rPr>
      </w:pPr>
      <w:r>
        <w:rPr>
          <w:lang w:val="uk-UA"/>
        </w:rPr>
        <w:t xml:space="preserve">- </w:t>
      </w:r>
      <w:r>
        <w:t xml:space="preserve">ДНЗ №18 </w:t>
      </w:r>
      <w:r w:rsidR="001C1B07">
        <w:rPr>
          <w:lang w:val="uk-UA"/>
        </w:rPr>
        <w:t>"</w:t>
      </w:r>
      <w:r>
        <w:t>Зернятко</w:t>
      </w:r>
      <w:r w:rsidR="001C1B07">
        <w:rPr>
          <w:lang w:val="uk-UA"/>
        </w:rPr>
        <w:t>"</w:t>
      </w:r>
      <w:r>
        <w:t xml:space="preserve"> по вул. Івана Павла ІІ, 14; </w:t>
      </w:r>
    </w:p>
    <w:p w:rsidR="00EE7357" w:rsidRDefault="00EE7357" w:rsidP="00EE7357">
      <w:pPr>
        <w:widowControl w:val="0"/>
        <w:tabs>
          <w:tab w:val="left" w:pos="570"/>
        </w:tabs>
        <w:suppressAutoHyphens/>
        <w:autoSpaceDE w:val="0"/>
        <w:ind w:firstLine="567"/>
        <w:jc w:val="both"/>
        <w:rPr>
          <w:lang w:val="uk-UA"/>
        </w:rPr>
      </w:pPr>
      <w:r>
        <w:rPr>
          <w:lang w:val="uk-UA"/>
        </w:rPr>
        <w:t xml:space="preserve">- </w:t>
      </w:r>
      <w:r>
        <w:t xml:space="preserve">ДНЗ №23 </w:t>
      </w:r>
      <w:r w:rsidR="009B13F9">
        <w:t>"</w:t>
      </w:r>
      <w:r>
        <w:t>Дударик</w:t>
      </w:r>
      <w:r w:rsidR="009B13F9">
        <w:t>"</w:t>
      </w:r>
      <w:r>
        <w:t xml:space="preserve"> по вул. Сухомлинського, 10А; </w:t>
      </w:r>
    </w:p>
    <w:p w:rsidR="00EE7357" w:rsidRDefault="00EE7357" w:rsidP="00EE7357">
      <w:pPr>
        <w:widowControl w:val="0"/>
        <w:tabs>
          <w:tab w:val="left" w:pos="570"/>
        </w:tabs>
        <w:suppressAutoHyphens/>
        <w:autoSpaceDE w:val="0"/>
        <w:ind w:firstLine="567"/>
        <w:jc w:val="both"/>
        <w:rPr>
          <w:lang w:val="uk-UA"/>
        </w:rPr>
      </w:pPr>
      <w:r>
        <w:rPr>
          <w:lang w:val="uk-UA"/>
        </w:rPr>
        <w:t xml:space="preserve">- </w:t>
      </w:r>
      <w:r w:rsidR="001C1B07">
        <w:t xml:space="preserve">ДНЗ №36 </w:t>
      </w:r>
      <w:r w:rsidR="001C1B07">
        <w:rPr>
          <w:lang w:val="uk-UA"/>
        </w:rPr>
        <w:t>"</w:t>
      </w:r>
      <w:r>
        <w:t>Віночок</w:t>
      </w:r>
      <w:r w:rsidR="001C1B07">
        <w:rPr>
          <w:lang w:val="uk-UA"/>
        </w:rPr>
        <w:t>"</w:t>
      </w:r>
      <w:r>
        <w:t xml:space="preserve"> по вул. Юліана Целевича 16а; </w:t>
      </w:r>
    </w:p>
    <w:p w:rsidR="00EE7357" w:rsidRDefault="00EE7357" w:rsidP="00EE7357">
      <w:pPr>
        <w:widowControl w:val="0"/>
        <w:tabs>
          <w:tab w:val="left" w:pos="570"/>
        </w:tabs>
        <w:suppressAutoHyphens/>
        <w:autoSpaceDE w:val="0"/>
        <w:ind w:firstLine="567"/>
        <w:jc w:val="both"/>
        <w:rPr>
          <w:lang w:val="uk-UA"/>
        </w:rPr>
      </w:pPr>
      <w:r>
        <w:rPr>
          <w:lang w:val="uk-UA"/>
        </w:rPr>
        <w:t xml:space="preserve">- </w:t>
      </w:r>
      <w:r>
        <w:t xml:space="preserve">ДНЗ №4 </w:t>
      </w:r>
      <w:r w:rsidR="001C1B07">
        <w:rPr>
          <w:lang w:val="uk-UA"/>
        </w:rPr>
        <w:t>"</w:t>
      </w:r>
      <w:r>
        <w:t>Калинова сопілка</w:t>
      </w:r>
      <w:r w:rsidR="001C1B07">
        <w:rPr>
          <w:lang w:val="uk-UA"/>
        </w:rPr>
        <w:t>"</w:t>
      </w:r>
      <w:r>
        <w:t xml:space="preserve"> по вул. Вовчинецькій, 33; </w:t>
      </w:r>
    </w:p>
    <w:p w:rsidR="00EE7357" w:rsidRDefault="00EE7357" w:rsidP="00EE7357">
      <w:pPr>
        <w:widowControl w:val="0"/>
        <w:tabs>
          <w:tab w:val="left" w:pos="570"/>
        </w:tabs>
        <w:suppressAutoHyphens/>
        <w:autoSpaceDE w:val="0"/>
        <w:ind w:firstLine="567"/>
        <w:jc w:val="both"/>
        <w:rPr>
          <w:lang w:val="uk-UA"/>
        </w:rPr>
      </w:pPr>
      <w:r>
        <w:rPr>
          <w:lang w:val="uk-UA"/>
        </w:rPr>
        <w:t xml:space="preserve">- </w:t>
      </w:r>
      <w:r>
        <w:t xml:space="preserve">ДНЗ №33 </w:t>
      </w:r>
      <w:r w:rsidR="001C1B07">
        <w:rPr>
          <w:lang w:val="uk-UA"/>
        </w:rPr>
        <w:t>"</w:t>
      </w:r>
      <w:r>
        <w:t>Кристалик</w:t>
      </w:r>
      <w:r w:rsidR="001C1B07">
        <w:rPr>
          <w:lang w:val="uk-UA"/>
        </w:rPr>
        <w:t>"</w:t>
      </w:r>
      <w:r>
        <w:t xml:space="preserve"> по вул. Вовчинецькій, 198; </w:t>
      </w:r>
    </w:p>
    <w:p w:rsidR="00EE7357" w:rsidRDefault="00EE7357" w:rsidP="00EE7357">
      <w:pPr>
        <w:widowControl w:val="0"/>
        <w:tabs>
          <w:tab w:val="left" w:pos="570"/>
        </w:tabs>
        <w:suppressAutoHyphens/>
        <w:autoSpaceDE w:val="0"/>
        <w:ind w:firstLine="567"/>
        <w:jc w:val="both"/>
        <w:rPr>
          <w:lang w:val="uk-UA"/>
        </w:rPr>
      </w:pPr>
      <w:r>
        <w:rPr>
          <w:lang w:val="uk-UA"/>
        </w:rPr>
        <w:t xml:space="preserve">- </w:t>
      </w:r>
      <w:r>
        <w:t xml:space="preserve">НРЦ по вул. Г. Хоткевича, 52а. </w:t>
      </w:r>
    </w:p>
    <w:p w:rsidR="00C34F3B" w:rsidRDefault="00EE7357" w:rsidP="00EE7357">
      <w:pPr>
        <w:widowControl w:val="0"/>
        <w:tabs>
          <w:tab w:val="left" w:pos="570"/>
        </w:tabs>
        <w:suppressAutoHyphens/>
        <w:autoSpaceDE w:val="0"/>
        <w:ind w:firstLine="567"/>
        <w:jc w:val="both"/>
        <w:rPr>
          <w:lang w:val="uk-UA"/>
        </w:rPr>
      </w:pPr>
      <w:r>
        <w:t xml:space="preserve">Основні роботи по </w:t>
      </w:r>
      <w:r w:rsidR="001C1B07">
        <w:t xml:space="preserve">зазначених </w:t>
      </w:r>
      <w:r>
        <w:t xml:space="preserve">вище закладах завершено. </w:t>
      </w:r>
      <w:r w:rsidR="001C1B07">
        <w:rPr>
          <w:lang w:val="uk-UA"/>
        </w:rPr>
        <w:t>У</w:t>
      </w:r>
      <w:r>
        <w:t xml:space="preserve"> рамках </w:t>
      </w:r>
      <w:r w:rsidR="001C1B07">
        <w:t>реалізації ІІ етапу про</w:t>
      </w:r>
      <w:r w:rsidR="001C1B07">
        <w:rPr>
          <w:lang w:val="uk-UA"/>
        </w:rPr>
        <w:t>є</w:t>
      </w:r>
      <w:r>
        <w:t xml:space="preserve">кту, в який ввійшли 16 об’єктів освіти, було проведено закупівлі по 7-ми контрактах: </w:t>
      </w:r>
    </w:p>
    <w:p w:rsidR="00C34F3B" w:rsidRDefault="00EE7357" w:rsidP="00EE7357">
      <w:pPr>
        <w:widowControl w:val="0"/>
        <w:tabs>
          <w:tab w:val="left" w:pos="570"/>
        </w:tabs>
        <w:suppressAutoHyphens/>
        <w:autoSpaceDE w:val="0"/>
        <w:ind w:firstLine="567"/>
        <w:jc w:val="both"/>
        <w:rPr>
          <w:lang w:val="uk-UA"/>
        </w:rPr>
      </w:pPr>
      <w:r>
        <w:t xml:space="preserve">- </w:t>
      </w:r>
      <w:r w:rsidR="00C34F3B">
        <w:rPr>
          <w:lang w:val="uk-UA"/>
        </w:rPr>
        <w:t>к</w:t>
      </w:r>
      <w:r w:rsidR="000D47CE">
        <w:t xml:space="preserve">апітальний ремонт НВК </w:t>
      </w:r>
      <w:r w:rsidR="000D47CE">
        <w:rPr>
          <w:lang w:val="uk-UA"/>
        </w:rPr>
        <w:t>"</w:t>
      </w:r>
      <w:r>
        <w:t>Школа-гімназія №3</w:t>
      </w:r>
      <w:proofErr w:type="gramStart"/>
      <w:r w:rsidR="000D47CE">
        <w:rPr>
          <w:lang w:val="uk-UA"/>
        </w:rPr>
        <w:t>"</w:t>
      </w:r>
      <w:r>
        <w:t xml:space="preserve"> ,</w:t>
      </w:r>
      <w:proofErr w:type="gramEnd"/>
      <w:r>
        <w:t xml:space="preserve"> ЗШ №8, ЗШ №13, ЗШ №22; </w:t>
      </w:r>
    </w:p>
    <w:p w:rsidR="00C34F3B" w:rsidRDefault="00C34F3B" w:rsidP="00EE7357">
      <w:pPr>
        <w:widowControl w:val="0"/>
        <w:tabs>
          <w:tab w:val="left" w:pos="570"/>
        </w:tabs>
        <w:suppressAutoHyphens/>
        <w:autoSpaceDE w:val="0"/>
        <w:ind w:firstLine="567"/>
        <w:jc w:val="both"/>
        <w:rPr>
          <w:lang w:val="uk-UA"/>
        </w:rPr>
      </w:pPr>
      <w:r>
        <w:rPr>
          <w:lang w:val="uk-UA"/>
        </w:rPr>
        <w:t>- к</w:t>
      </w:r>
      <w:r w:rsidR="00EE7357">
        <w:t>апітальний ремонт системи опал</w:t>
      </w:r>
      <w:r w:rsidR="000D47CE">
        <w:t xml:space="preserve">ення та встановлення ІТП (НВК </w:t>
      </w:r>
      <w:r w:rsidR="000D47CE">
        <w:rPr>
          <w:lang w:val="uk-UA"/>
        </w:rPr>
        <w:t>"</w:t>
      </w:r>
      <w:r w:rsidR="00EE7357">
        <w:t>Школа-гімназія №3</w:t>
      </w:r>
      <w:r w:rsidR="000D47CE">
        <w:rPr>
          <w:lang w:val="uk-UA"/>
        </w:rPr>
        <w:t>"</w:t>
      </w:r>
      <w:r w:rsidR="00EE7357">
        <w:t xml:space="preserve"> , ЗШ №8, ЗШ №13, ЗШ №22, ЗШ №25); </w:t>
      </w:r>
    </w:p>
    <w:p w:rsidR="00C34F3B" w:rsidRDefault="00C34F3B" w:rsidP="00EE7357">
      <w:pPr>
        <w:widowControl w:val="0"/>
        <w:tabs>
          <w:tab w:val="left" w:pos="570"/>
        </w:tabs>
        <w:suppressAutoHyphens/>
        <w:autoSpaceDE w:val="0"/>
        <w:ind w:firstLine="567"/>
        <w:jc w:val="both"/>
        <w:rPr>
          <w:lang w:val="uk-UA"/>
        </w:rPr>
      </w:pPr>
      <w:r>
        <w:t xml:space="preserve">- </w:t>
      </w:r>
      <w:r>
        <w:rPr>
          <w:lang w:val="uk-UA"/>
        </w:rPr>
        <w:t>к</w:t>
      </w:r>
      <w:r w:rsidR="00EE7357">
        <w:t xml:space="preserve">апітальний ремонт ДНЗ №3, ДНЗ №15, ДНЗ №9, ДНЗ №27; </w:t>
      </w:r>
    </w:p>
    <w:p w:rsidR="00C34F3B" w:rsidRDefault="00C34F3B" w:rsidP="00EE7357">
      <w:pPr>
        <w:widowControl w:val="0"/>
        <w:tabs>
          <w:tab w:val="left" w:pos="570"/>
        </w:tabs>
        <w:suppressAutoHyphens/>
        <w:autoSpaceDE w:val="0"/>
        <w:ind w:firstLine="567"/>
        <w:jc w:val="both"/>
        <w:rPr>
          <w:lang w:val="uk-UA"/>
        </w:rPr>
      </w:pPr>
      <w:r>
        <w:rPr>
          <w:lang w:val="uk-UA"/>
        </w:rPr>
        <w:t>-</w:t>
      </w:r>
      <w:r w:rsidR="00EE7357">
        <w:t xml:space="preserve"> </w:t>
      </w:r>
      <w:r>
        <w:rPr>
          <w:lang w:val="uk-UA"/>
        </w:rPr>
        <w:t>р</w:t>
      </w:r>
      <w:r w:rsidR="00EE7357">
        <w:t xml:space="preserve">еконструкція системи опалення та встановлення ІТП (ДНЗ №1, ДНЗ №3, ДНЗ №15, ДНЗ №9, ДНЗ №11, ДНЗ №27); </w:t>
      </w:r>
    </w:p>
    <w:p w:rsidR="00C34F3B" w:rsidRDefault="00EE7357" w:rsidP="00EE7357">
      <w:pPr>
        <w:widowControl w:val="0"/>
        <w:tabs>
          <w:tab w:val="left" w:pos="570"/>
        </w:tabs>
        <w:suppressAutoHyphens/>
        <w:autoSpaceDE w:val="0"/>
        <w:ind w:firstLine="567"/>
        <w:jc w:val="both"/>
        <w:rPr>
          <w:lang w:val="uk-UA"/>
        </w:rPr>
      </w:pPr>
      <w:r>
        <w:t xml:space="preserve">- </w:t>
      </w:r>
      <w:r w:rsidR="00C34F3B">
        <w:rPr>
          <w:lang w:val="uk-UA"/>
        </w:rPr>
        <w:t>к</w:t>
      </w:r>
      <w:r>
        <w:t xml:space="preserve">апітальний ремонт ДНЗ №2, ДНЗ №11, ДНЗ №1; </w:t>
      </w:r>
    </w:p>
    <w:p w:rsidR="00C34F3B" w:rsidRDefault="00EE7357" w:rsidP="00EE7357">
      <w:pPr>
        <w:widowControl w:val="0"/>
        <w:tabs>
          <w:tab w:val="left" w:pos="570"/>
        </w:tabs>
        <w:suppressAutoHyphens/>
        <w:autoSpaceDE w:val="0"/>
        <w:ind w:firstLine="567"/>
        <w:jc w:val="both"/>
        <w:rPr>
          <w:lang w:val="uk-UA"/>
        </w:rPr>
      </w:pPr>
      <w:r>
        <w:t xml:space="preserve">- </w:t>
      </w:r>
      <w:r w:rsidR="00C34F3B">
        <w:rPr>
          <w:lang w:val="uk-UA"/>
        </w:rPr>
        <w:t>р</w:t>
      </w:r>
      <w:r>
        <w:t xml:space="preserve">еконструкція системи опалення та встановлення ІТП (ДНЗ №2, ДНЗ №20, ДНЗ №30, ДНЗ №29, ДНЗ №34); </w:t>
      </w:r>
    </w:p>
    <w:p w:rsidR="00C34F3B" w:rsidRDefault="00EE7357" w:rsidP="00EE7357">
      <w:pPr>
        <w:widowControl w:val="0"/>
        <w:tabs>
          <w:tab w:val="left" w:pos="570"/>
        </w:tabs>
        <w:suppressAutoHyphens/>
        <w:autoSpaceDE w:val="0"/>
        <w:ind w:firstLine="567"/>
        <w:jc w:val="both"/>
        <w:rPr>
          <w:lang w:val="uk-UA"/>
        </w:rPr>
      </w:pPr>
      <w:r>
        <w:t xml:space="preserve">- </w:t>
      </w:r>
      <w:r w:rsidR="00C34F3B">
        <w:rPr>
          <w:lang w:val="uk-UA"/>
        </w:rPr>
        <w:t>к</w:t>
      </w:r>
      <w:r>
        <w:t>апітальний ремонт ДНЗ №30, ДНЗ №20, ДНЗ №29, ДНЗ №34</w:t>
      </w:r>
      <w:r w:rsidR="00C34F3B">
        <w:rPr>
          <w:lang w:val="uk-UA"/>
        </w:rPr>
        <w:t>.</w:t>
      </w:r>
      <w:r>
        <w:t xml:space="preserve"> Укладено угоди на загальну суму 482</w:t>
      </w:r>
      <w:r w:rsidR="00C34F3B">
        <w:rPr>
          <w:lang w:val="uk-UA"/>
        </w:rPr>
        <w:t>,5</w:t>
      </w:r>
      <w:r w:rsidR="000B136B">
        <w:rPr>
          <w:lang w:val="uk-UA"/>
        </w:rPr>
        <w:t xml:space="preserve"> </w:t>
      </w:r>
      <w:r w:rsidR="00C34F3B">
        <w:rPr>
          <w:lang w:val="uk-UA"/>
        </w:rPr>
        <w:t>тис.</w:t>
      </w:r>
      <w:r>
        <w:t>євро та 24</w:t>
      </w:r>
      <w:r w:rsidR="00C34F3B">
        <w:rPr>
          <w:lang w:val="uk-UA"/>
        </w:rPr>
        <w:t>,</w:t>
      </w:r>
      <w:r>
        <w:t>4</w:t>
      </w:r>
      <w:r w:rsidR="00C34F3B">
        <w:rPr>
          <w:lang w:val="uk-UA"/>
        </w:rPr>
        <w:t xml:space="preserve"> млн</w:t>
      </w:r>
      <w:r>
        <w:t xml:space="preserve"> грн. </w:t>
      </w:r>
    </w:p>
    <w:p w:rsidR="007B5FC8" w:rsidRPr="007B5FC8" w:rsidRDefault="007B5FC8" w:rsidP="007B5FC8">
      <w:pPr>
        <w:ind w:firstLine="700"/>
        <w:jc w:val="both"/>
        <w:outlineLvl w:val="0"/>
        <w:rPr>
          <w:highlight w:val="yellow"/>
          <w:lang w:val="uk-UA"/>
        </w:rPr>
      </w:pPr>
    </w:p>
    <w:p w:rsidR="007B5FC8" w:rsidRPr="00860C8D" w:rsidRDefault="007B5FC8" w:rsidP="007B5FC8">
      <w:pPr>
        <w:ind w:firstLine="700"/>
        <w:jc w:val="both"/>
        <w:outlineLvl w:val="0"/>
        <w:rPr>
          <w:i/>
          <w:lang w:val="uk-UA"/>
        </w:rPr>
      </w:pPr>
      <w:r w:rsidRPr="00860C8D">
        <w:rPr>
          <w:i/>
          <w:lang w:val="uk-UA"/>
        </w:rPr>
        <w:t xml:space="preserve">2.3 Дорожнє господарство та транспорт </w:t>
      </w:r>
    </w:p>
    <w:p w:rsidR="00860C8D" w:rsidRDefault="00C93EEA" w:rsidP="007B5FC8">
      <w:pPr>
        <w:ind w:firstLine="709"/>
        <w:jc w:val="both"/>
        <w:rPr>
          <w:lang w:val="uk-UA"/>
        </w:rPr>
      </w:pPr>
      <w:r>
        <w:rPr>
          <w:lang w:val="uk-UA"/>
        </w:rPr>
        <w:lastRenderedPageBreak/>
        <w:t>Значна</w:t>
      </w:r>
      <w:r w:rsidR="00860C8D">
        <w:t xml:space="preserve"> увага приділялася розвитку дорожньо-транспортної інфраструктури. Основні заходи були направлені на виконання робіт з будівництва доріг та капітального ремонту вулиць. </w:t>
      </w:r>
    </w:p>
    <w:p w:rsidR="00860C8D" w:rsidRDefault="00860C8D" w:rsidP="007B5FC8">
      <w:pPr>
        <w:ind w:firstLine="709"/>
        <w:jc w:val="both"/>
        <w:rPr>
          <w:lang w:val="uk-UA"/>
        </w:rPr>
      </w:pPr>
      <w:r w:rsidRPr="009C5286">
        <w:rPr>
          <w:lang w:val="uk-UA"/>
        </w:rPr>
        <w:t xml:space="preserve">Наймасштабнішим будівельним об’єктом міста Івано-Франківська є новий міст, будівництво якого складається з трьох черг. </w:t>
      </w:r>
      <w:r>
        <w:t>Тривають роботи по будівництву конструкцій с</w:t>
      </w:r>
      <w:r w:rsidR="00C93EEA">
        <w:t>амого моста. Наступний етап про</w:t>
      </w:r>
      <w:r w:rsidR="00C93EEA">
        <w:rPr>
          <w:lang w:val="uk-UA"/>
        </w:rPr>
        <w:t>є</w:t>
      </w:r>
      <w:r>
        <w:t xml:space="preserve">кту </w:t>
      </w:r>
      <w:r>
        <w:rPr>
          <w:lang w:val="uk-UA"/>
        </w:rPr>
        <w:t>–</w:t>
      </w:r>
      <w:r>
        <w:t xml:space="preserve"> </w:t>
      </w:r>
      <w:r>
        <w:rPr>
          <w:lang w:val="uk-UA"/>
        </w:rPr>
        <w:t xml:space="preserve">будівництво </w:t>
      </w:r>
      <w:r>
        <w:t>розв’язк</w:t>
      </w:r>
      <w:r>
        <w:rPr>
          <w:lang w:val="uk-UA"/>
        </w:rPr>
        <w:t>и</w:t>
      </w:r>
      <w:r w:rsidR="00C93EEA">
        <w:t xml:space="preserve"> на вул. Надрічній. Про</w:t>
      </w:r>
      <w:r w:rsidR="00C93EEA">
        <w:rPr>
          <w:lang w:val="uk-UA"/>
        </w:rPr>
        <w:t>є</w:t>
      </w:r>
      <w:r>
        <w:t>ктно</w:t>
      </w:r>
      <w:r w:rsidR="00C93EEA">
        <w:rPr>
          <w:lang w:val="uk-UA"/>
        </w:rPr>
        <w:t>-</w:t>
      </w:r>
      <w:r>
        <w:t>кошторисна документація виготовлена</w:t>
      </w:r>
      <w:r>
        <w:rPr>
          <w:lang w:val="uk-UA"/>
        </w:rPr>
        <w:t xml:space="preserve">, погоджена та </w:t>
      </w:r>
      <w:r>
        <w:t>отрима</w:t>
      </w:r>
      <w:r>
        <w:rPr>
          <w:lang w:val="uk-UA"/>
        </w:rPr>
        <w:t>ла</w:t>
      </w:r>
      <w:r>
        <w:t xml:space="preserve"> позитивну експертну </w:t>
      </w:r>
      <w:r w:rsidR="00C93EEA">
        <w:t>оцінку. Триває виготовлення про</w:t>
      </w:r>
      <w:r w:rsidR="00C93EEA">
        <w:rPr>
          <w:lang w:val="uk-UA"/>
        </w:rPr>
        <w:t>є</w:t>
      </w:r>
      <w:r>
        <w:t>ктно-кошторисної документації на будівництво вули</w:t>
      </w:r>
      <w:r w:rsidR="00C93EEA">
        <w:t>ці Хіміків на ділянці від ЗОШ №</w:t>
      </w:r>
      <w:r>
        <w:t xml:space="preserve">24 до річки Бистриця Солотвинська. </w:t>
      </w:r>
    </w:p>
    <w:p w:rsidR="00860C8D" w:rsidRDefault="00860C8D" w:rsidP="007B5FC8">
      <w:pPr>
        <w:ind w:firstLine="709"/>
        <w:jc w:val="both"/>
        <w:rPr>
          <w:lang w:val="uk-UA"/>
        </w:rPr>
      </w:pPr>
      <w:r w:rsidRPr="009C5286">
        <w:rPr>
          <w:lang w:val="uk-UA"/>
        </w:rPr>
        <w:t>Не</w:t>
      </w:r>
      <w:r w:rsidR="00AE4AA0">
        <w:rPr>
          <w:lang w:val="uk-UA"/>
        </w:rPr>
        <w:t xml:space="preserve"> менш важливим є реалізація проє</w:t>
      </w:r>
      <w:r w:rsidRPr="009C5286">
        <w:rPr>
          <w:lang w:val="uk-UA"/>
        </w:rPr>
        <w:t>кту з будівництва Північного бульвару на ділянці від вул. Бельведерської до</w:t>
      </w:r>
      <w:r w:rsidR="00AE4AA0">
        <w:rPr>
          <w:lang w:val="uk-UA"/>
        </w:rPr>
        <w:t xml:space="preserve"> вул. Панаса Мирного. Траса проє</w:t>
      </w:r>
      <w:r w:rsidRPr="009C5286">
        <w:rPr>
          <w:lang w:val="uk-UA"/>
        </w:rPr>
        <w:t>ктної ділянки є ланкою</w:t>
      </w:r>
      <w:r w:rsidR="00AE4AA0">
        <w:rPr>
          <w:lang w:val="uk-UA"/>
        </w:rPr>
        <w:t>,</w:t>
      </w:r>
      <w:r w:rsidRPr="009C5286">
        <w:rPr>
          <w:lang w:val="uk-UA"/>
        </w:rPr>
        <w:t xml:space="preserve"> яка </w:t>
      </w:r>
      <w:r w:rsidR="00AE4AA0">
        <w:rPr>
          <w:lang w:val="uk-UA"/>
        </w:rPr>
        <w:t>з’єднує існуючі міські вулиці Гетьмана</w:t>
      </w:r>
      <w:r w:rsidRPr="009C5286">
        <w:rPr>
          <w:lang w:val="uk-UA"/>
        </w:rPr>
        <w:t xml:space="preserve"> Мазепи </w:t>
      </w:r>
      <w:r>
        <w:rPr>
          <w:lang w:val="uk-UA"/>
        </w:rPr>
        <w:t>-</w:t>
      </w:r>
      <w:r w:rsidRPr="009C5286">
        <w:rPr>
          <w:lang w:val="uk-UA"/>
        </w:rPr>
        <w:t xml:space="preserve"> Р. Гурика </w:t>
      </w:r>
      <w:r>
        <w:rPr>
          <w:lang w:val="uk-UA"/>
        </w:rPr>
        <w:t>-</w:t>
      </w:r>
      <w:r w:rsidRPr="009C5286">
        <w:rPr>
          <w:lang w:val="uk-UA"/>
        </w:rPr>
        <w:t xml:space="preserve"> Південний Бульвар </w:t>
      </w:r>
      <w:r>
        <w:rPr>
          <w:lang w:val="uk-UA"/>
        </w:rPr>
        <w:t>-</w:t>
      </w:r>
      <w:r w:rsidRPr="009C5286">
        <w:rPr>
          <w:lang w:val="uk-UA"/>
        </w:rPr>
        <w:t xml:space="preserve"> Бельведерська </w:t>
      </w:r>
      <w:r>
        <w:rPr>
          <w:lang w:val="uk-UA"/>
        </w:rPr>
        <w:t>-</w:t>
      </w:r>
      <w:r w:rsidRPr="009C5286">
        <w:rPr>
          <w:lang w:val="uk-UA"/>
        </w:rPr>
        <w:t xml:space="preserve"> П. Мирного з </w:t>
      </w:r>
      <w:r w:rsidR="00AE4AA0">
        <w:rPr>
          <w:lang w:val="uk-UA"/>
        </w:rPr>
        <w:t>Північним б</w:t>
      </w:r>
      <w:r w:rsidRPr="009C5286">
        <w:rPr>
          <w:lang w:val="uk-UA"/>
        </w:rPr>
        <w:t>ульвар</w:t>
      </w:r>
      <w:r w:rsidR="00AE4AA0">
        <w:rPr>
          <w:lang w:val="uk-UA"/>
        </w:rPr>
        <w:t>ом</w:t>
      </w:r>
      <w:r w:rsidRPr="009C5286">
        <w:rPr>
          <w:lang w:val="uk-UA"/>
        </w:rPr>
        <w:t xml:space="preserve">. Будівництво цієї ділянки вулиці дасть змогу перенаправити транспортний потік дорожнього руху та зняти навантаження </w:t>
      </w:r>
      <w:r w:rsidR="00AE4AA0">
        <w:rPr>
          <w:lang w:val="uk-UA"/>
        </w:rPr>
        <w:t xml:space="preserve">з </w:t>
      </w:r>
      <w:r w:rsidRPr="009C5286">
        <w:rPr>
          <w:lang w:val="uk-UA"/>
        </w:rPr>
        <w:t xml:space="preserve">центральної частини міста. </w:t>
      </w:r>
      <w:r>
        <w:t>У серпні 2019 року відбувся тендер</w:t>
      </w:r>
      <w:r w:rsidR="00AE4AA0">
        <w:rPr>
          <w:lang w:val="uk-UA"/>
        </w:rPr>
        <w:t>,</w:t>
      </w:r>
      <w:r>
        <w:t xml:space="preserve"> в результаті якого укладено договір з переможцем торгів. Роботи проводяться та будуть завершені в термін згідно з календарним графіком.</w:t>
      </w:r>
    </w:p>
    <w:p w:rsidR="00860C8D" w:rsidRDefault="00860C8D" w:rsidP="007B5FC8">
      <w:pPr>
        <w:ind w:firstLine="709"/>
        <w:jc w:val="both"/>
        <w:rPr>
          <w:lang w:val="uk-UA"/>
        </w:rPr>
      </w:pPr>
      <w:r>
        <w:t>Протягом 2019 року завершено капітальний ремонт 7 вулиць, а саме: вул. Республіканськ</w:t>
      </w:r>
      <w:r w:rsidR="002C1529">
        <w:rPr>
          <w:lang w:val="uk-UA"/>
        </w:rPr>
        <w:t>ої</w:t>
      </w:r>
      <w:r>
        <w:t>; вул. Військових Ветеранів; вул. Вовчинецьк</w:t>
      </w:r>
      <w:r w:rsidR="002C1529">
        <w:rPr>
          <w:lang w:val="uk-UA"/>
        </w:rPr>
        <w:t>ої</w:t>
      </w:r>
      <w:r>
        <w:t xml:space="preserve"> (на ділянці від вул. Дучимінської до вул. Симиренка); вул. Підгірянки (на ділянці від вул. Стефаника до вул. </w:t>
      </w:r>
      <w:r w:rsidR="002C1529">
        <w:t>Незалежності); вул. Індустріаль</w:t>
      </w:r>
      <w:r w:rsidR="002C1529">
        <w:rPr>
          <w:lang w:val="uk-UA"/>
        </w:rPr>
        <w:t>ної</w:t>
      </w:r>
      <w:r>
        <w:t xml:space="preserve">; вул. Галицької (від роз’їзду на Калуське шосе до вул. Хіміків); вул. Левинського. </w:t>
      </w:r>
    </w:p>
    <w:p w:rsidR="00860C8D" w:rsidRDefault="00860C8D" w:rsidP="007B5FC8">
      <w:pPr>
        <w:ind w:firstLine="709"/>
        <w:jc w:val="both"/>
        <w:rPr>
          <w:lang w:val="uk-UA"/>
        </w:rPr>
      </w:pPr>
      <w:r>
        <w:t>Також на завершальному етапі роботи з будівництва 2-х вулиць: вул. 24 Серпня; вул. Стуса (на ділянці від вул. Миколайчука до вул. 24 Серпня). Триває капітальний ремонт 7 вулиць: вул. Ушинського; вул. Софіївк</w:t>
      </w:r>
      <w:r w:rsidR="003E1949">
        <w:rPr>
          <w:lang w:val="uk-UA"/>
        </w:rPr>
        <w:t>и</w:t>
      </w:r>
      <w:r>
        <w:t>; вул. Макогона; вул. Коперніка; вул. Надрічн</w:t>
      </w:r>
      <w:r w:rsidR="003E1949">
        <w:rPr>
          <w:lang w:val="uk-UA"/>
        </w:rPr>
        <w:t>ої</w:t>
      </w:r>
      <w:r>
        <w:t xml:space="preserve"> (старої частини); вул. Січинського; вул. Озаркевича.</w:t>
      </w:r>
    </w:p>
    <w:p w:rsidR="007B5FC8" w:rsidRPr="006346CF" w:rsidRDefault="007B5FC8" w:rsidP="007B5FC8">
      <w:pPr>
        <w:ind w:firstLine="700"/>
        <w:jc w:val="both"/>
        <w:rPr>
          <w:lang w:val="uk-UA"/>
        </w:rPr>
      </w:pPr>
      <w:r w:rsidRPr="006346CF">
        <w:rPr>
          <w:lang w:val="uk-UA"/>
        </w:rPr>
        <w:t>Автомобільним та тролейбусним транспортом міста у 201</w:t>
      </w:r>
      <w:r w:rsidR="006346CF" w:rsidRPr="006346CF">
        <w:rPr>
          <w:lang w:val="uk-UA"/>
        </w:rPr>
        <w:t>9</w:t>
      </w:r>
      <w:r w:rsidR="003E1949">
        <w:rPr>
          <w:lang w:val="uk-UA"/>
        </w:rPr>
        <w:t xml:space="preserve"> </w:t>
      </w:r>
      <w:r w:rsidRPr="006346CF">
        <w:rPr>
          <w:lang w:val="uk-UA"/>
        </w:rPr>
        <w:t>р</w:t>
      </w:r>
      <w:r w:rsidR="003E1949">
        <w:rPr>
          <w:lang w:val="uk-UA"/>
        </w:rPr>
        <w:t>оці</w:t>
      </w:r>
      <w:r w:rsidRPr="006346CF">
        <w:rPr>
          <w:lang w:val="uk-UA"/>
        </w:rPr>
        <w:t xml:space="preserve"> надано послуг </w:t>
      </w:r>
      <w:r w:rsidR="006346CF" w:rsidRPr="006346CF">
        <w:rPr>
          <w:lang w:val="uk-UA"/>
        </w:rPr>
        <w:t>44</w:t>
      </w:r>
      <w:r w:rsidRPr="006346CF">
        <w:rPr>
          <w:lang w:val="uk-UA"/>
        </w:rPr>
        <w:t xml:space="preserve"> млн пасажир</w:t>
      </w:r>
      <w:r w:rsidR="003E1949">
        <w:rPr>
          <w:lang w:val="uk-UA"/>
        </w:rPr>
        <w:t>ам</w:t>
      </w:r>
      <w:r w:rsidRPr="006346CF">
        <w:rPr>
          <w:lang w:val="uk-UA"/>
        </w:rPr>
        <w:t xml:space="preserve">, що на </w:t>
      </w:r>
      <w:r w:rsidR="006346CF" w:rsidRPr="006346CF">
        <w:rPr>
          <w:lang w:val="uk-UA"/>
        </w:rPr>
        <w:t>6,1</w:t>
      </w:r>
      <w:r w:rsidRPr="006346CF">
        <w:rPr>
          <w:lang w:val="uk-UA"/>
        </w:rPr>
        <w:t>% більше обсягу пасажирських перевезень попереднього року.</w:t>
      </w:r>
    </w:p>
    <w:p w:rsidR="007B5FC8" w:rsidRPr="006346CF" w:rsidRDefault="007B5FC8" w:rsidP="007B5FC8">
      <w:pPr>
        <w:ind w:firstLine="700"/>
        <w:jc w:val="both"/>
        <w:rPr>
          <w:lang w:val="uk-UA"/>
        </w:rPr>
      </w:pPr>
      <w:r w:rsidRPr="006346CF">
        <w:rPr>
          <w:lang w:val="uk-UA"/>
        </w:rPr>
        <w:t>Автомобільним транспортом (з урахуванням перевезень, виконаних транспортом фізичних осіб-підприємців) перевезено 30,</w:t>
      </w:r>
      <w:r w:rsidR="006346CF" w:rsidRPr="006346CF">
        <w:rPr>
          <w:lang w:val="uk-UA"/>
        </w:rPr>
        <w:t>6</w:t>
      </w:r>
      <w:r w:rsidRPr="006346CF">
        <w:rPr>
          <w:lang w:val="uk-UA"/>
        </w:rPr>
        <w:t xml:space="preserve"> млн пасажирів, з них </w:t>
      </w:r>
      <w:r w:rsidR="006346CF" w:rsidRPr="006346CF">
        <w:rPr>
          <w:lang w:val="uk-UA"/>
        </w:rPr>
        <w:t>12,4</w:t>
      </w:r>
      <w:r w:rsidRPr="006346CF">
        <w:rPr>
          <w:lang w:val="uk-UA"/>
        </w:rPr>
        <w:t xml:space="preserve"> млн (61%) - автотранспортом фізичних осіб-підприємців.</w:t>
      </w:r>
    </w:p>
    <w:p w:rsidR="007B5FC8" w:rsidRPr="006346CF" w:rsidRDefault="007B5FC8" w:rsidP="007B5FC8">
      <w:pPr>
        <w:ind w:firstLine="700"/>
        <w:jc w:val="both"/>
        <w:rPr>
          <w:lang w:val="uk-UA"/>
        </w:rPr>
      </w:pPr>
      <w:r w:rsidRPr="006346CF">
        <w:rPr>
          <w:lang w:val="uk-UA"/>
        </w:rPr>
        <w:t xml:space="preserve">Тролейбусним транспортом у </w:t>
      </w:r>
      <w:r w:rsidR="003E1949">
        <w:rPr>
          <w:lang w:val="uk-UA"/>
        </w:rPr>
        <w:t>звітному періоді</w:t>
      </w:r>
      <w:r w:rsidRPr="006346CF">
        <w:rPr>
          <w:lang w:val="uk-UA"/>
        </w:rPr>
        <w:t xml:space="preserve">  скористалось </w:t>
      </w:r>
      <w:r w:rsidR="006346CF" w:rsidRPr="006346CF">
        <w:rPr>
          <w:lang w:val="uk-UA"/>
        </w:rPr>
        <w:t>13,5</w:t>
      </w:r>
      <w:r w:rsidRPr="006346CF">
        <w:rPr>
          <w:lang w:val="uk-UA"/>
        </w:rPr>
        <w:t xml:space="preserve"> млн пасажирів, що на </w:t>
      </w:r>
      <w:r w:rsidR="006346CF" w:rsidRPr="006346CF">
        <w:rPr>
          <w:lang w:val="uk-UA"/>
        </w:rPr>
        <w:t>16,8</w:t>
      </w:r>
      <w:r w:rsidRPr="006346CF">
        <w:rPr>
          <w:lang w:val="uk-UA"/>
        </w:rPr>
        <w:t xml:space="preserve">% </w:t>
      </w:r>
      <w:r w:rsidR="006346CF" w:rsidRPr="006346CF">
        <w:rPr>
          <w:lang w:val="uk-UA"/>
        </w:rPr>
        <w:t>мен</w:t>
      </w:r>
      <w:r w:rsidRPr="006346CF">
        <w:rPr>
          <w:lang w:val="uk-UA"/>
        </w:rPr>
        <w:t>ше обсягів 201</w:t>
      </w:r>
      <w:r w:rsidR="006346CF" w:rsidRPr="006346CF">
        <w:rPr>
          <w:lang w:val="uk-UA"/>
        </w:rPr>
        <w:t>8</w:t>
      </w:r>
      <w:r w:rsidRPr="006346CF">
        <w:rPr>
          <w:lang w:val="uk-UA"/>
        </w:rPr>
        <w:t>р.</w:t>
      </w:r>
    </w:p>
    <w:p w:rsidR="007B5FC8" w:rsidRPr="007B5FC8" w:rsidRDefault="007B5FC8" w:rsidP="007B5FC8">
      <w:pPr>
        <w:tabs>
          <w:tab w:val="left" w:pos="620"/>
        </w:tabs>
        <w:jc w:val="both"/>
        <w:rPr>
          <w:highlight w:val="yellow"/>
          <w:lang w:val="uk-UA"/>
        </w:rPr>
      </w:pPr>
      <w:r w:rsidRPr="006346CF">
        <w:rPr>
          <w:lang w:val="uk-UA"/>
        </w:rPr>
        <w:tab/>
        <w:t xml:space="preserve">Загальна кількість транспортних засобів (автобусів), які обслуговують міські маршрути складає </w:t>
      </w:r>
      <w:r w:rsidR="006346CF" w:rsidRPr="006346CF">
        <w:rPr>
          <w:bCs/>
          <w:lang w:val="uk-UA"/>
        </w:rPr>
        <w:t>195</w:t>
      </w:r>
      <w:r w:rsidRPr="006346CF">
        <w:rPr>
          <w:lang w:val="uk-UA"/>
        </w:rPr>
        <w:t xml:space="preserve"> одиниць, з них – </w:t>
      </w:r>
      <w:r w:rsidR="006346CF" w:rsidRPr="006346CF">
        <w:rPr>
          <w:lang w:val="uk-UA"/>
        </w:rPr>
        <w:t>52</w:t>
      </w:r>
      <w:r w:rsidRPr="006346CF">
        <w:rPr>
          <w:lang w:val="uk-UA"/>
        </w:rPr>
        <w:t xml:space="preserve"> одиниці </w:t>
      </w:r>
      <w:r w:rsidRPr="006346CF">
        <w:rPr>
          <w:bCs/>
          <w:lang w:val="uk-UA"/>
        </w:rPr>
        <w:t>великого класу на маршрутах: № 22</w:t>
      </w:r>
      <w:r w:rsidRPr="006346CF">
        <w:rPr>
          <w:lang w:val="uk-UA"/>
        </w:rPr>
        <w:t xml:space="preserve"> – </w:t>
      </w:r>
      <w:r w:rsidRPr="006346CF">
        <w:rPr>
          <w:bCs/>
          <w:lang w:val="uk-UA"/>
        </w:rPr>
        <w:t>10</w:t>
      </w:r>
      <w:r w:rsidR="003E1949">
        <w:rPr>
          <w:lang w:val="uk-UA"/>
        </w:rPr>
        <w:t xml:space="preserve"> автобусів, №</w:t>
      </w:r>
      <w:r w:rsidRPr="006346CF">
        <w:rPr>
          <w:lang w:val="uk-UA"/>
        </w:rPr>
        <w:t>27 – 6</w:t>
      </w:r>
      <w:r w:rsidRPr="006346CF">
        <w:rPr>
          <w:b/>
          <w:lang w:val="uk-UA"/>
        </w:rPr>
        <w:t xml:space="preserve"> </w:t>
      </w:r>
      <w:r w:rsidR="003E1949">
        <w:rPr>
          <w:lang w:val="uk-UA"/>
        </w:rPr>
        <w:t xml:space="preserve">автобусів, </w:t>
      </w:r>
      <w:r w:rsidRPr="006346CF">
        <w:rPr>
          <w:lang w:val="uk-UA"/>
        </w:rPr>
        <w:t xml:space="preserve"> </w:t>
      </w:r>
      <w:r w:rsidRPr="006346CF">
        <w:rPr>
          <w:bCs/>
          <w:lang w:val="uk-UA"/>
        </w:rPr>
        <w:t>28 – 8</w:t>
      </w:r>
      <w:r w:rsidRPr="006346CF">
        <w:rPr>
          <w:b/>
          <w:bCs/>
          <w:lang w:val="uk-UA"/>
        </w:rPr>
        <w:t xml:space="preserve"> </w:t>
      </w:r>
      <w:r w:rsidRPr="006346CF">
        <w:rPr>
          <w:lang w:val="uk-UA"/>
        </w:rPr>
        <w:t>автобусів</w:t>
      </w:r>
      <w:r w:rsidR="006346CF" w:rsidRPr="006346CF">
        <w:rPr>
          <w:lang w:val="uk-UA"/>
        </w:rPr>
        <w:t xml:space="preserve">, </w:t>
      </w:r>
      <w:r w:rsidR="003E1949">
        <w:rPr>
          <w:lang w:val="uk-UA"/>
        </w:rPr>
        <w:t>№</w:t>
      </w:r>
      <w:r w:rsidR="006346CF" w:rsidRPr="009C5286">
        <w:rPr>
          <w:lang w:val="uk-UA"/>
        </w:rPr>
        <w:t>40К</w:t>
      </w:r>
      <w:r w:rsidR="006346CF" w:rsidRPr="006346CF">
        <w:rPr>
          <w:lang w:val="uk-UA"/>
        </w:rPr>
        <w:t xml:space="preserve"> - </w:t>
      </w:r>
      <w:r w:rsidR="006346CF" w:rsidRPr="009C5286">
        <w:rPr>
          <w:lang w:val="uk-UA"/>
        </w:rPr>
        <w:t xml:space="preserve">8 автобусів, №41К </w:t>
      </w:r>
      <w:r w:rsidR="006346CF" w:rsidRPr="006346CF">
        <w:rPr>
          <w:lang w:val="uk-UA"/>
        </w:rPr>
        <w:t xml:space="preserve">- </w:t>
      </w:r>
      <w:r w:rsidR="003E1949">
        <w:rPr>
          <w:lang w:val="uk-UA"/>
        </w:rPr>
        <w:t>8 автобусів, №45- 2 автобуси, №</w:t>
      </w:r>
      <w:r w:rsidR="006346CF" w:rsidRPr="009C5286">
        <w:rPr>
          <w:lang w:val="uk-UA"/>
        </w:rPr>
        <w:t>47-2 автобуси, №49</w:t>
      </w:r>
      <w:r w:rsidR="006346CF">
        <w:rPr>
          <w:lang w:val="uk-UA"/>
        </w:rPr>
        <w:t xml:space="preserve"> </w:t>
      </w:r>
      <w:r w:rsidR="006346CF" w:rsidRPr="009C5286">
        <w:rPr>
          <w:lang w:val="uk-UA"/>
        </w:rPr>
        <w:t>-</w:t>
      </w:r>
      <w:r w:rsidR="006346CF">
        <w:rPr>
          <w:lang w:val="uk-UA"/>
        </w:rPr>
        <w:t xml:space="preserve"> </w:t>
      </w:r>
      <w:r w:rsidR="006346CF" w:rsidRPr="009C5286">
        <w:rPr>
          <w:lang w:val="uk-UA"/>
        </w:rPr>
        <w:t>4 автобуси,</w:t>
      </w:r>
      <w:r w:rsidR="006346CF">
        <w:rPr>
          <w:lang w:val="uk-UA"/>
        </w:rPr>
        <w:t xml:space="preserve"> </w:t>
      </w:r>
      <w:r w:rsidR="003E1949">
        <w:rPr>
          <w:lang w:val="uk-UA"/>
        </w:rPr>
        <w:t>№</w:t>
      </w:r>
      <w:r w:rsidR="006346CF" w:rsidRPr="009C5286">
        <w:rPr>
          <w:lang w:val="uk-UA"/>
        </w:rPr>
        <w:t xml:space="preserve">55 </w:t>
      </w:r>
      <w:r w:rsidR="006346CF">
        <w:rPr>
          <w:lang w:val="uk-UA"/>
        </w:rPr>
        <w:t>-</w:t>
      </w:r>
      <w:r w:rsidR="006346CF" w:rsidRPr="009C5286">
        <w:rPr>
          <w:lang w:val="uk-UA"/>
        </w:rPr>
        <w:t xml:space="preserve"> 10 автобусів.</w:t>
      </w:r>
    </w:p>
    <w:p w:rsidR="007B5FC8" w:rsidRPr="006346CF" w:rsidRDefault="007B5FC8" w:rsidP="007B5FC8">
      <w:pPr>
        <w:tabs>
          <w:tab w:val="left" w:pos="620"/>
        </w:tabs>
        <w:jc w:val="both"/>
        <w:rPr>
          <w:lang w:val="uk-UA"/>
        </w:rPr>
      </w:pPr>
      <w:r w:rsidRPr="006346CF">
        <w:rPr>
          <w:lang w:val="uk-UA"/>
        </w:rPr>
        <w:tab/>
        <w:t xml:space="preserve">Мережа громадського транспорту нараховує </w:t>
      </w:r>
      <w:r w:rsidR="006346CF" w:rsidRPr="006346CF">
        <w:rPr>
          <w:lang w:val="uk-UA"/>
        </w:rPr>
        <w:t>31</w:t>
      </w:r>
      <w:r w:rsidRPr="006346CF">
        <w:rPr>
          <w:lang w:val="uk-UA"/>
        </w:rPr>
        <w:t xml:space="preserve"> автобусни</w:t>
      </w:r>
      <w:r w:rsidR="003E1949">
        <w:rPr>
          <w:lang w:val="uk-UA"/>
        </w:rPr>
        <w:t>й</w:t>
      </w:r>
      <w:r w:rsidRPr="006346CF">
        <w:rPr>
          <w:lang w:val="uk-UA"/>
        </w:rPr>
        <w:t xml:space="preserve"> маршрут та </w:t>
      </w:r>
      <w:r w:rsidR="006346CF" w:rsidRPr="006346CF">
        <w:rPr>
          <w:lang w:val="uk-UA"/>
        </w:rPr>
        <w:t>7</w:t>
      </w:r>
      <w:r w:rsidRPr="006346CF">
        <w:rPr>
          <w:lang w:val="uk-UA"/>
        </w:rPr>
        <w:t xml:space="preserve"> тролейбусних маршрутів.</w:t>
      </w:r>
    </w:p>
    <w:p w:rsidR="007B5FC8" w:rsidRDefault="007B5FC8" w:rsidP="007B5FC8">
      <w:pPr>
        <w:ind w:firstLine="700"/>
        <w:jc w:val="both"/>
        <w:rPr>
          <w:lang w:val="uk-UA"/>
        </w:rPr>
      </w:pPr>
      <w:r w:rsidRPr="006346CF">
        <w:rPr>
          <w:lang w:val="uk-UA"/>
        </w:rPr>
        <w:t>З метою забезпечення</w:t>
      </w:r>
      <w:r w:rsidRPr="006346CF">
        <w:rPr>
          <w:lang w:val="uk-UA"/>
        </w:rPr>
        <w:tab/>
        <w:t>дотримання вимог щодо надання послуг з перевезення пасажирів у відповідності до вимог Порядку надання</w:t>
      </w:r>
      <w:r w:rsidRPr="006346CF">
        <w:rPr>
          <w:w w:val="95"/>
          <w:lang w:val="uk-UA"/>
        </w:rPr>
        <w:t xml:space="preserve"> </w:t>
      </w:r>
      <w:r w:rsidRPr="006346CF">
        <w:rPr>
          <w:lang w:val="uk-UA"/>
        </w:rPr>
        <w:t xml:space="preserve">послуг з </w:t>
      </w:r>
      <w:r w:rsidRPr="006346CF">
        <w:rPr>
          <w:lang w:val="uk-UA"/>
        </w:rPr>
        <w:lastRenderedPageBreak/>
        <w:t>перевезення пасажирів у міському пасажирському транспорті загального користування міста Івано-Франківська створено рейдову групу з контролю за дотриманням умов, передбачених договорами на перевезення</w:t>
      </w:r>
      <w:r w:rsidRPr="006346CF">
        <w:rPr>
          <w:w w:val="95"/>
          <w:lang w:val="uk-UA"/>
        </w:rPr>
        <w:t xml:space="preserve"> </w:t>
      </w:r>
      <w:r w:rsidRPr="006346CF">
        <w:rPr>
          <w:lang w:val="uk-UA"/>
        </w:rPr>
        <w:t xml:space="preserve">пасажирів на міських автобусних маршрутах. Зокрема, на перевізників складено </w:t>
      </w:r>
      <w:r w:rsidR="006346CF" w:rsidRPr="006346CF">
        <w:rPr>
          <w:lang w:val="uk-UA"/>
        </w:rPr>
        <w:t>70</w:t>
      </w:r>
      <w:r w:rsidRPr="006346CF">
        <w:rPr>
          <w:lang w:val="uk-UA"/>
        </w:rPr>
        <w:t xml:space="preserve"> актів про порушення умов договору на загальну суму </w:t>
      </w:r>
      <w:r w:rsidR="006346CF" w:rsidRPr="006346CF">
        <w:rPr>
          <w:lang w:val="uk-UA"/>
        </w:rPr>
        <w:t>59,5</w:t>
      </w:r>
      <w:r w:rsidRPr="006346CF">
        <w:rPr>
          <w:lang w:val="uk-UA"/>
        </w:rPr>
        <w:t xml:space="preserve"> тис. грн. Здійснено </w:t>
      </w:r>
      <w:r w:rsidR="006346CF" w:rsidRPr="006346CF">
        <w:rPr>
          <w:lang w:val="uk-UA"/>
        </w:rPr>
        <w:t>62</w:t>
      </w:r>
      <w:r w:rsidRPr="006346CF">
        <w:rPr>
          <w:lang w:val="uk-UA"/>
        </w:rPr>
        <w:t xml:space="preserve"> виїзн</w:t>
      </w:r>
      <w:r w:rsidR="006346CF" w:rsidRPr="006346CF">
        <w:rPr>
          <w:lang w:val="uk-UA"/>
        </w:rPr>
        <w:t>і</w:t>
      </w:r>
      <w:r w:rsidRPr="006346CF">
        <w:rPr>
          <w:lang w:val="uk-UA"/>
        </w:rPr>
        <w:t xml:space="preserve"> обстежен</w:t>
      </w:r>
      <w:r w:rsidR="006346CF" w:rsidRPr="006346CF">
        <w:rPr>
          <w:lang w:val="uk-UA"/>
        </w:rPr>
        <w:t>ня</w:t>
      </w:r>
      <w:r w:rsidRPr="006346CF">
        <w:rPr>
          <w:lang w:val="uk-UA"/>
        </w:rPr>
        <w:t>.</w:t>
      </w:r>
    </w:p>
    <w:p w:rsidR="006346CF" w:rsidRDefault="006346CF" w:rsidP="007B5FC8">
      <w:pPr>
        <w:ind w:firstLine="700"/>
        <w:jc w:val="both"/>
        <w:rPr>
          <w:lang w:val="uk-UA"/>
        </w:rPr>
      </w:pPr>
      <w:r>
        <w:t xml:space="preserve">Враховуючи пропозиції мешканців міста та за результатами проведених конкурсів забезпечено роботу наступних комунальних маршрутів: </w:t>
      </w:r>
    </w:p>
    <w:p w:rsidR="006346CF" w:rsidRDefault="006346CF" w:rsidP="007B5FC8">
      <w:pPr>
        <w:ind w:firstLine="700"/>
        <w:jc w:val="both"/>
        <w:rPr>
          <w:lang w:val="uk-UA"/>
        </w:rPr>
      </w:pPr>
      <w:r>
        <w:rPr>
          <w:lang w:val="uk-UA"/>
        </w:rPr>
        <w:t xml:space="preserve">- </w:t>
      </w:r>
      <w:r>
        <w:t xml:space="preserve">№27 </w:t>
      </w:r>
      <w:r>
        <w:rPr>
          <w:lang w:val="uk-UA"/>
        </w:rPr>
        <w:t>"</w:t>
      </w:r>
      <w:r>
        <w:t xml:space="preserve">м-н </w:t>
      </w:r>
      <w:r>
        <w:rPr>
          <w:lang w:val="uk-UA"/>
        </w:rPr>
        <w:t>"</w:t>
      </w:r>
      <w:r>
        <w:t>Каскад</w:t>
      </w:r>
      <w:r>
        <w:rPr>
          <w:lang w:val="uk-UA"/>
        </w:rPr>
        <w:t>"</w:t>
      </w:r>
      <w:r>
        <w:t xml:space="preserve"> - вул. Пулюя</w:t>
      </w:r>
      <w:r>
        <w:rPr>
          <w:lang w:val="uk-UA"/>
        </w:rPr>
        <w:t>"</w:t>
      </w:r>
      <w:r>
        <w:t xml:space="preserve">; </w:t>
      </w:r>
    </w:p>
    <w:p w:rsidR="006346CF" w:rsidRDefault="006346CF" w:rsidP="007B5FC8">
      <w:pPr>
        <w:ind w:firstLine="700"/>
        <w:jc w:val="both"/>
        <w:rPr>
          <w:lang w:val="uk-UA"/>
        </w:rPr>
      </w:pPr>
      <w:r>
        <w:rPr>
          <w:lang w:val="uk-UA"/>
        </w:rPr>
        <w:t xml:space="preserve">- </w:t>
      </w:r>
      <w:r w:rsidR="00BE7CED">
        <w:t>№</w:t>
      </w:r>
      <w:r>
        <w:t xml:space="preserve">41К </w:t>
      </w:r>
      <w:r>
        <w:rPr>
          <w:lang w:val="uk-UA"/>
        </w:rPr>
        <w:t>"</w:t>
      </w:r>
      <w:r>
        <w:t xml:space="preserve">м-н </w:t>
      </w:r>
      <w:r>
        <w:rPr>
          <w:lang w:val="uk-UA"/>
        </w:rPr>
        <w:t>"</w:t>
      </w:r>
      <w:r>
        <w:t>Каскад</w:t>
      </w:r>
      <w:r>
        <w:rPr>
          <w:lang w:val="uk-UA"/>
        </w:rPr>
        <w:t>"</w:t>
      </w:r>
      <w:r>
        <w:t xml:space="preserve"> </w:t>
      </w:r>
      <w:r>
        <w:rPr>
          <w:lang w:val="uk-UA"/>
        </w:rPr>
        <w:t>-</w:t>
      </w:r>
      <w:r>
        <w:t xml:space="preserve"> Онкодиспансер</w:t>
      </w:r>
      <w:r>
        <w:rPr>
          <w:lang w:val="uk-UA"/>
        </w:rPr>
        <w:t>"</w:t>
      </w:r>
      <w:r>
        <w:t xml:space="preserve"> (субота, неділя, святкові дні </w:t>
      </w:r>
      <w:r>
        <w:rPr>
          <w:lang w:val="uk-UA"/>
        </w:rPr>
        <w:t>-</w:t>
      </w:r>
      <w:r>
        <w:t xml:space="preserve"> </w:t>
      </w:r>
      <w:r>
        <w:rPr>
          <w:lang w:val="uk-UA"/>
        </w:rPr>
        <w:t>"</w:t>
      </w:r>
      <w:r>
        <w:t>Міське кладовище</w:t>
      </w:r>
      <w:r>
        <w:rPr>
          <w:lang w:val="uk-UA"/>
        </w:rPr>
        <w:t>"</w:t>
      </w:r>
      <w:r>
        <w:t>);</w:t>
      </w:r>
    </w:p>
    <w:p w:rsidR="006346CF" w:rsidRDefault="006346CF" w:rsidP="007B5FC8">
      <w:pPr>
        <w:ind w:firstLine="700"/>
        <w:jc w:val="both"/>
        <w:rPr>
          <w:lang w:val="uk-UA"/>
        </w:rPr>
      </w:pPr>
      <w:r>
        <w:rPr>
          <w:lang w:val="uk-UA"/>
        </w:rPr>
        <w:t>-</w:t>
      </w:r>
      <w:r w:rsidR="00BE7CED">
        <w:t xml:space="preserve"> №</w:t>
      </w:r>
      <w:r>
        <w:t xml:space="preserve">55 </w:t>
      </w:r>
      <w:r>
        <w:rPr>
          <w:lang w:val="uk-UA"/>
        </w:rPr>
        <w:t>"</w:t>
      </w:r>
      <w:r>
        <w:t xml:space="preserve">с. Крихівці (субота, неділя, святкові дні </w:t>
      </w:r>
      <w:r>
        <w:rPr>
          <w:lang w:val="uk-UA"/>
        </w:rPr>
        <w:t>-</w:t>
      </w:r>
      <w:r>
        <w:t xml:space="preserve"> </w:t>
      </w:r>
      <w:r>
        <w:rPr>
          <w:lang w:val="uk-UA"/>
        </w:rPr>
        <w:t>"</w:t>
      </w:r>
      <w:r>
        <w:t>Міське кладовище</w:t>
      </w:r>
      <w:r>
        <w:rPr>
          <w:lang w:val="uk-UA"/>
        </w:rPr>
        <w:t>"</w:t>
      </w:r>
      <w:r>
        <w:t xml:space="preserve">) </w:t>
      </w:r>
      <w:r>
        <w:rPr>
          <w:lang w:val="uk-UA"/>
        </w:rPr>
        <w:t>-</w:t>
      </w:r>
      <w:r w:rsidR="00BE7CED">
        <w:t xml:space="preserve"> Автостанція №</w:t>
      </w:r>
      <w:r>
        <w:t>2</w:t>
      </w:r>
      <w:r>
        <w:rPr>
          <w:lang w:val="uk-UA"/>
        </w:rPr>
        <w:t>"</w:t>
      </w:r>
      <w:r>
        <w:t>;</w:t>
      </w:r>
    </w:p>
    <w:p w:rsidR="006346CF" w:rsidRDefault="006346CF" w:rsidP="007B5FC8">
      <w:pPr>
        <w:ind w:firstLine="700"/>
        <w:jc w:val="both"/>
        <w:rPr>
          <w:lang w:val="uk-UA"/>
        </w:rPr>
      </w:pPr>
      <w:r>
        <w:rPr>
          <w:lang w:val="uk-UA"/>
        </w:rPr>
        <w:t xml:space="preserve">- </w:t>
      </w:r>
      <w:r>
        <w:t xml:space="preserve">№40К </w:t>
      </w:r>
      <w:r>
        <w:rPr>
          <w:lang w:val="uk-UA"/>
        </w:rPr>
        <w:t>"</w:t>
      </w:r>
      <w:r>
        <w:t xml:space="preserve">м-н </w:t>
      </w:r>
      <w:r w:rsidR="00D24A0C">
        <w:t>"</w:t>
      </w:r>
      <w:r>
        <w:t>Каскад</w:t>
      </w:r>
      <w:r>
        <w:rPr>
          <w:lang w:val="uk-UA"/>
        </w:rPr>
        <w:t>"</w:t>
      </w:r>
      <w:r>
        <w:t>- АС-3</w:t>
      </w:r>
      <w:r>
        <w:rPr>
          <w:lang w:val="uk-UA"/>
        </w:rPr>
        <w:t>"</w:t>
      </w:r>
      <w:r>
        <w:t>;</w:t>
      </w:r>
    </w:p>
    <w:p w:rsidR="006346CF" w:rsidRDefault="006346CF" w:rsidP="007B5FC8">
      <w:pPr>
        <w:ind w:firstLine="700"/>
        <w:jc w:val="both"/>
        <w:rPr>
          <w:lang w:val="uk-UA"/>
        </w:rPr>
      </w:pPr>
      <w:r>
        <w:rPr>
          <w:lang w:val="uk-UA"/>
        </w:rPr>
        <w:t>-</w:t>
      </w:r>
      <w:r w:rsidRPr="009C5286">
        <w:rPr>
          <w:lang w:val="uk-UA"/>
        </w:rPr>
        <w:t xml:space="preserve"> №45 </w:t>
      </w:r>
      <w:r>
        <w:rPr>
          <w:lang w:val="uk-UA"/>
        </w:rPr>
        <w:t>"</w:t>
      </w:r>
      <w:r w:rsidRPr="009C5286">
        <w:rPr>
          <w:lang w:val="uk-UA"/>
        </w:rPr>
        <w:t>с.Підлужжя</w:t>
      </w:r>
      <w:r>
        <w:rPr>
          <w:lang w:val="uk-UA"/>
        </w:rPr>
        <w:t xml:space="preserve"> </w:t>
      </w:r>
      <w:r w:rsidRPr="009C5286">
        <w:rPr>
          <w:lang w:val="uk-UA"/>
        </w:rPr>
        <w:t>-</w:t>
      </w:r>
      <w:r>
        <w:rPr>
          <w:lang w:val="uk-UA"/>
        </w:rPr>
        <w:t xml:space="preserve"> </w:t>
      </w:r>
      <w:r w:rsidRPr="009C5286">
        <w:rPr>
          <w:lang w:val="uk-UA"/>
        </w:rPr>
        <w:t>Набережна ім.В.Стефаника</w:t>
      </w:r>
      <w:r>
        <w:rPr>
          <w:lang w:val="uk-UA"/>
        </w:rPr>
        <w:t>"</w:t>
      </w:r>
      <w:r w:rsidRPr="009C5286">
        <w:rPr>
          <w:lang w:val="uk-UA"/>
        </w:rPr>
        <w:t>;</w:t>
      </w:r>
    </w:p>
    <w:p w:rsidR="006346CF" w:rsidRDefault="006346CF" w:rsidP="007B5FC8">
      <w:pPr>
        <w:ind w:firstLine="700"/>
        <w:jc w:val="both"/>
        <w:rPr>
          <w:lang w:val="uk-UA"/>
        </w:rPr>
      </w:pPr>
      <w:r>
        <w:rPr>
          <w:lang w:val="uk-UA"/>
        </w:rPr>
        <w:t>-</w:t>
      </w:r>
      <w:r w:rsidRPr="009C5286">
        <w:rPr>
          <w:lang w:val="uk-UA"/>
        </w:rPr>
        <w:t xml:space="preserve"> №47 </w:t>
      </w:r>
      <w:r>
        <w:rPr>
          <w:lang w:val="uk-UA"/>
        </w:rPr>
        <w:t>"</w:t>
      </w:r>
      <w:r w:rsidRPr="009C5286">
        <w:rPr>
          <w:lang w:val="uk-UA"/>
        </w:rPr>
        <w:t>Вокзал</w:t>
      </w:r>
      <w:r>
        <w:rPr>
          <w:lang w:val="uk-UA"/>
        </w:rPr>
        <w:t xml:space="preserve"> </w:t>
      </w:r>
      <w:r w:rsidRPr="009C5286">
        <w:rPr>
          <w:lang w:val="uk-UA"/>
        </w:rPr>
        <w:t>-</w:t>
      </w:r>
      <w:r>
        <w:rPr>
          <w:lang w:val="uk-UA"/>
        </w:rPr>
        <w:t xml:space="preserve"> </w:t>
      </w:r>
      <w:r w:rsidRPr="009C5286">
        <w:rPr>
          <w:lang w:val="uk-UA"/>
        </w:rPr>
        <w:t>с.Черніїв</w:t>
      </w:r>
      <w:r>
        <w:rPr>
          <w:lang w:val="uk-UA"/>
        </w:rPr>
        <w:t>"</w:t>
      </w:r>
      <w:r w:rsidRPr="009C5286">
        <w:rPr>
          <w:lang w:val="uk-UA"/>
        </w:rPr>
        <w:t xml:space="preserve">; </w:t>
      </w:r>
    </w:p>
    <w:p w:rsidR="006346CF" w:rsidRDefault="006346CF" w:rsidP="006346CF">
      <w:pPr>
        <w:ind w:left="700"/>
        <w:jc w:val="both"/>
        <w:rPr>
          <w:lang w:val="uk-UA"/>
        </w:rPr>
      </w:pPr>
      <w:r>
        <w:rPr>
          <w:lang w:val="uk-UA"/>
        </w:rPr>
        <w:t xml:space="preserve">- </w:t>
      </w:r>
      <w:r w:rsidRPr="009C5286">
        <w:rPr>
          <w:lang w:val="uk-UA"/>
        </w:rPr>
        <w:t xml:space="preserve">№49 </w:t>
      </w:r>
      <w:r>
        <w:rPr>
          <w:lang w:val="uk-UA"/>
        </w:rPr>
        <w:t>"</w:t>
      </w:r>
      <w:r w:rsidRPr="009C5286">
        <w:rPr>
          <w:lang w:val="uk-UA"/>
        </w:rPr>
        <w:t>вул.Юності - Набережна ім.В.Стефаника</w:t>
      </w:r>
      <w:r>
        <w:rPr>
          <w:lang w:val="uk-UA"/>
        </w:rPr>
        <w:t>"</w:t>
      </w:r>
      <w:r w:rsidRPr="009C5286">
        <w:rPr>
          <w:lang w:val="uk-UA"/>
        </w:rPr>
        <w:t xml:space="preserve">. </w:t>
      </w:r>
    </w:p>
    <w:p w:rsidR="006346CF" w:rsidRPr="006346CF" w:rsidRDefault="006346CF" w:rsidP="006346CF">
      <w:pPr>
        <w:ind w:left="700"/>
        <w:jc w:val="both"/>
        <w:rPr>
          <w:lang w:val="uk-UA"/>
        </w:rPr>
      </w:pPr>
      <w:r>
        <w:rPr>
          <w:lang w:val="uk-UA"/>
        </w:rPr>
        <w:t>- з</w:t>
      </w:r>
      <w:r>
        <w:t xml:space="preserve">апроваджено тролейбусний маршрут №5 </w:t>
      </w:r>
      <w:r>
        <w:rPr>
          <w:lang w:val="uk-UA"/>
        </w:rPr>
        <w:t>"</w:t>
      </w:r>
      <w:r>
        <w:t xml:space="preserve">вул.Дністровська </w:t>
      </w:r>
      <w:r>
        <w:rPr>
          <w:lang w:val="uk-UA"/>
        </w:rPr>
        <w:t>-</w:t>
      </w:r>
      <w:r>
        <w:t>Тролейбусне Депо</w:t>
      </w:r>
      <w:r>
        <w:rPr>
          <w:lang w:val="uk-UA"/>
        </w:rPr>
        <w:t>"</w:t>
      </w:r>
      <w:r>
        <w:t>, на якому працює 2 тролейбуси.</w:t>
      </w:r>
    </w:p>
    <w:p w:rsidR="006346CF" w:rsidRDefault="006346CF" w:rsidP="006346CF">
      <w:pPr>
        <w:ind w:firstLine="700"/>
        <w:jc w:val="both"/>
        <w:rPr>
          <w:lang w:val="uk-UA"/>
        </w:rPr>
      </w:pPr>
      <w:r w:rsidRPr="006346CF">
        <w:t>Для кращого інформативного забезпечення мешканців міста щодо</w:t>
      </w:r>
      <w:r>
        <w:t xml:space="preserve"> графіків руху громадського транспорту в м. Івано-Франківську встановлено 20 інформаційних електронних табло DOZOR. </w:t>
      </w:r>
    </w:p>
    <w:p w:rsidR="006346CF" w:rsidRDefault="006346CF" w:rsidP="006346CF">
      <w:pPr>
        <w:ind w:firstLine="700"/>
        <w:jc w:val="both"/>
        <w:rPr>
          <w:lang w:val="uk-UA"/>
        </w:rPr>
      </w:pPr>
      <w:r>
        <w:t xml:space="preserve">На даний час проводяться роботи щодо встановлення електронних табло на зупинках: </w:t>
      </w:r>
    </w:p>
    <w:p w:rsidR="006346CF" w:rsidRDefault="006346CF" w:rsidP="006346CF">
      <w:pPr>
        <w:ind w:firstLine="700"/>
        <w:jc w:val="both"/>
        <w:rPr>
          <w:lang w:val="uk-UA"/>
        </w:rPr>
      </w:pPr>
      <w:r>
        <w:t>- вул. Галицька (Музична школа);</w:t>
      </w:r>
    </w:p>
    <w:p w:rsidR="006346CF" w:rsidRDefault="006346CF" w:rsidP="006346CF">
      <w:pPr>
        <w:ind w:firstLine="700"/>
        <w:jc w:val="both"/>
        <w:rPr>
          <w:lang w:val="uk-UA"/>
        </w:rPr>
      </w:pPr>
      <w:r>
        <w:t xml:space="preserve"> - вул.Стуса (Гранд базар); </w:t>
      </w:r>
    </w:p>
    <w:p w:rsidR="006346CF" w:rsidRDefault="006346CF" w:rsidP="006346CF">
      <w:pPr>
        <w:ind w:firstLine="700"/>
        <w:jc w:val="both"/>
        <w:rPr>
          <w:lang w:val="uk-UA"/>
        </w:rPr>
      </w:pPr>
      <w:r>
        <w:t>- вул.Січ.Стрільців (</w:t>
      </w:r>
      <w:r w:rsidR="00B17493">
        <w:rPr>
          <w:lang w:val="uk-UA"/>
        </w:rPr>
        <w:t>о</w:t>
      </w:r>
      <w:r>
        <w:t xml:space="preserve">бласна </w:t>
      </w:r>
      <w:r w:rsidR="00B17493">
        <w:rPr>
          <w:lang w:val="uk-UA"/>
        </w:rPr>
        <w:t>д</w:t>
      </w:r>
      <w:r>
        <w:t xml:space="preserve">рукарня); </w:t>
      </w:r>
    </w:p>
    <w:p w:rsidR="006346CF" w:rsidRPr="006346CF" w:rsidRDefault="006346CF" w:rsidP="006346CF">
      <w:pPr>
        <w:ind w:firstLine="700"/>
        <w:jc w:val="both"/>
        <w:rPr>
          <w:highlight w:val="yellow"/>
          <w:lang w:val="uk-UA"/>
        </w:rPr>
      </w:pPr>
      <w:r>
        <w:t>- вул. Привокзальна (ж/д вокзал)</w:t>
      </w:r>
      <w:r>
        <w:rPr>
          <w:lang w:val="uk-UA"/>
        </w:rPr>
        <w:t>.</w:t>
      </w:r>
    </w:p>
    <w:p w:rsidR="007B5FC8" w:rsidRPr="00B17493" w:rsidRDefault="007B5FC8" w:rsidP="007B5FC8">
      <w:pPr>
        <w:ind w:firstLine="360"/>
        <w:jc w:val="both"/>
        <w:rPr>
          <w:lang w:val="uk-UA"/>
        </w:rPr>
      </w:pPr>
      <w:r w:rsidRPr="00B17493">
        <w:rPr>
          <w:lang w:val="uk-UA"/>
        </w:rPr>
        <w:tab/>
        <w:t xml:space="preserve">Впродовж звітного року встановлено </w:t>
      </w:r>
      <w:r w:rsidR="00B17493" w:rsidRPr="00B17493">
        <w:rPr>
          <w:lang w:val="uk-UA"/>
        </w:rPr>
        <w:t>13</w:t>
      </w:r>
      <w:r w:rsidRPr="00B17493">
        <w:rPr>
          <w:lang w:val="uk-UA"/>
        </w:rPr>
        <w:t xml:space="preserve"> нов</w:t>
      </w:r>
      <w:r w:rsidR="00B17493" w:rsidRPr="00B17493">
        <w:rPr>
          <w:lang w:val="uk-UA"/>
        </w:rPr>
        <w:t>их</w:t>
      </w:r>
      <w:r w:rsidRPr="00B17493">
        <w:rPr>
          <w:lang w:val="uk-UA"/>
        </w:rPr>
        <w:t xml:space="preserve"> зупин</w:t>
      </w:r>
      <w:r w:rsidR="00B17493" w:rsidRPr="00B17493">
        <w:rPr>
          <w:lang w:val="uk-UA"/>
        </w:rPr>
        <w:t>о</w:t>
      </w:r>
      <w:r w:rsidRPr="00B17493">
        <w:rPr>
          <w:lang w:val="uk-UA"/>
        </w:rPr>
        <w:t xml:space="preserve">к громадського транспорту. </w:t>
      </w:r>
    </w:p>
    <w:p w:rsidR="00B17493" w:rsidRDefault="00B17493" w:rsidP="007B5FC8">
      <w:pPr>
        <w:ind w:firstLine="709"/>
        <w:jc w:val="both"/>
        <w:rPr>
          <w:lang w:val="uk-UA"/>
        </w:rPr>
      </w:pPr>
      <w:r w:rsidRPr="009C5286">
        <w:rPr>
          <w:lang w:val="uk-UA"/>
        </w:rPr>
        <w:t xml:space="preserve">Спільно з громадською організацією </w:t>
      </w:r>
      <w:r>
        <w:rPr>
          <w:lang w:val="uk-UA"/>
        </w:rPr>
        <w:t>"</w:t>
      </w:r>
      <w:r w:rsidRPr="009C5286">
        <w:rPr>
          <w:lang w:val="uk-UA"/>
        </w:rPr>
        <w:t>Біла тростина</w:t>
      </w:r>
      <w:r>
        <w:rPr>
          <w:lang w:val="uk-UA"/>
        </w:rPr>
        <w:t>"</w:t>
      </w:r>
      <w:r w:rsidRPr="009C5286">
        <w:rPr>
          <w:lang w:val="uk-UA"/>
        </w:rPr>
        <w:t xml:space="preserve"> визначено технічні особливості та проведено тендер і м</w:t>
      </w:r>
      <w:r w:rsidR="00BE7CED">
        <w:rPr>
          <w:lang w:val="uk-UA"/>
        </w:rPr>
        <w:t>онтаж обладнання на маршрутах №</w:t>
      </w:r>
      <w:r w:rsidRPr="009C5286">
        <w:rPr>
          <w:lang w:val="uk-UA"/>
        </w:rPr>
        <w:t xml:space="preserve">21, 25, 35, 40, 44, 48. Обладнано засобами внутрішнього та зовнішнього звукового оповіщення 44 автобуси. </w:t>
      </w:r>
    </w:p>
    <w:p w:rsidR="00B17493" w:rsidRDefault="007B5FC8" w:rsidP="007B5FC8">
      <w:pPr>
        <w:ind w:firstLine="360"/>
        <w:jc w:val="both"/>
        <w:rPr>
          <w:highlight w:val="yellow"/>
          <w:lang w:val="uk-UA"/>
        </w:rPr>
      </w:pPr>
      <w:r w:rsidRPr="00B17493">
        <w:rPr>
          <w:lang w:val="uk-UA"/>
        </w:rPr>
        <w:tab/>
        <w:t xml:space="preserve">Для забезпечення безпеки дорожнього руху </w:t>
      </w:r>
      <w:r w:rsidR="00B17493" w:rsidRPr="00B17493">
        <w:rPr>
          <w:lang w:val="uk-UA"/>
        </w:rPr>
        <w:t>о</w:t>
      </w:r>
      <w:r w:rsidR="00B17493" w:rsidRPr="00B17493">
        <w:t>блаштовано острівець</w:t>
      </w:r>
      <w:r w:rsidR="00B17493">
        <w:t xml:space="preserve"> безпеки на вул. Довженка (біля церкви)</w:t>
      </w:r>
      <w:r w:rsidR="00B17493">
        <w:rPr>
          <w:lang w:val="uk-UA"/>
        </w:rPr>
        <w:t xml:space="preserve">, встановлено </w:t>
      </w:r>
      <w:r w:rsidR="00B17493">
        <w:t>пристрої примусового зниження швидкості</w:t>
      </w:r>
      <w:r w:rsidR="00B17493">
        <w:rPr>
          <w:lang w:val="uk-UA"/>
        </w:rPr>
        <w:t xml:space="preserve"> </w:t>
      </w:r>
      <w:r w:rsidR="00B17493">
        <w:t>(лежачі поліцейські) на вулицях</w:t>
      </w:r>
      <w:r w:rsidR="00B17493">
        <w:rPr>
          <w:lang w:val="uk-UA"/>
        </w:rPr>
        <w:t>:</w:t>
      </w:r>
      <w:r w:rsidR="00B17493">
        <w:t xml:space="preserve"> Б. Хмельницького </w:t>
      </w:r>
      <w:r w:rsidR="00B17493">
        <w:rPr>
          <w:lang w:val="uk-UA"/>
        </w:rPr>
        <w:t>-</w:t>
      </w:r>
      <w:r w:rsidR="00B17493">
        <w:t xml:space="preserve"> Затишн</w:t>
      </w:r>
      <w:r w:rsidR="00BE7CED">
        <w:rPr>
          <w:lang w:val="uk-UA"/>
        </w:rPr>
        <w:t>ій</w:t>
      </w:r>
      <w:r w:rsidR="00BE7CED">
        <w:t>, вул.</w:t>
      </w:r>
      <w:r w:rsidR="00B17493">
        <w:t>Надвірнянськ</w:t>
      </w:r>
      <w:r w:rsidR="00BE7CED">
        <w:rPr>
          <w:lang w:val="uk-UA"/>
        </w:rPr>
        <w:t>ій</w:t>
      </w:r>
      <w:r w:rsidR="00BE7CED">
        <w:t>, 30, вул.</w:t>
      </w:r>
      <w:r w:rsidR="00B17493">
        <w:t xml:space="preserve">Кармелюка </w:t>
      </w:r>
      <w:r w:rsidR="00B17493">
        <w:rPr>
          <w:lang w:val="uk-UA"/>
        </w:rPr>
        <w:t>-</w:t>
      </w:r>
      <w:r w:rsidR="00B17493">
        <w:t xml:space="preserve"> Ясінських, вул.Кармелюка </w:t>
      </w:r>
      <w:r w:rsidR="00B17493">
        <w:rPr>
          <w:lang w:val="uk-UA"/>
        </w:rPr>
        <w:t>-</w:t>
      </w:r>
      <w:r w:rsidR="00B17493">
        <w:t xml:space="preserve"> Сковороди, вул. Левинського, 28, вул. Челюскінців, 73, вул.</w:t>
      </w:r>
      <w:r w:rsidR="00BE7CED">
        <w:t>Сорохтея, 37, вул.</w:t>
      </w:r>
      <w:r w:rsidR="00BE7CED">
        <w:rPr>
          <w:lang w:val="uk-UA"/>
        </w:rPr>
        <w:t>Є.</w:t>
      </w:r>
      <w:r w:rsidR="00B17493">
        <w:t xml:space="preserve">Коновальця, 138А. Встановлено сферичні дзеркала: </w:t>
      </w:r>
      <w:r w:rsidR="00BE7CED">
        <w:rPr>
          <w:lang w:val="uk-UA"/>
        </w:rPr>
        <w:t>в</w:t>
      </w:r>
      <w:r w:rsidR="00B17493">
        <w:t xml:space="preserve">ул. Кисілевської </w:t>
      </w:r>
      <w:r w:rsidR="00B17493">
        <w:rPr>
          <w:lang w:val="uk-UA"/>
        </w:rPr>
        <w:t>-</w:t>
      </w:r>
      <w:r w:rsidR="00B17493">
        <w:t xml:space="preserve"> Й. Сліпого, вул. Б. Хмельницького </w:t>
      </w:r>
      <w:r w:rsidR="00B17493">
        <w:rPr>
          <w:lang w:val="uk-UA"/>
        </w:rPr>
        <w:t>-</w:t>
      </w:r>
      <w:r w:rsidR="00B17493">
        <w:t xml:space="preserve"> Трачів, вул. Миру </w:t>
      </w:r>
      <w:r w:rsidR="00B17493">
        <w:rPr>
          <w:lang w:val="uk-UA"/>
        </w:rPr>
        <w:t>-</w:t>
      </w:r>
      <w:r w:rsidR="00B17493">
        <w:t xml:space="preserve"> Української Дивізії.</w:t>
      </w:r>
    </w:p>
    <w:p w:rsidR="00B17493" w:rsidRDefault="00B17493" w:rsidP="00B17493">
      <w:pPr>
        <w:ind w:firstLine="709"/>
        <w:jc w:val="both"/>
        <w:rPr>
          <w:highlight w:val="yellow"/>
          <w:lang w:val="uk-UA"/>
        </w:rPr>
      </w:pPr>
      <w:r w:rsidRPr="00BE7CED">
        <w:rPr>
          <w:lang w:val="uk-UA"/>
        </w:rPr>
        <w:t>Облаштовано освітлення пішохідних переходів</w:t>
      </w:r>
      <w:r>
        <w:rPr>
          <w:lang w:val="uk-UA"/>
        </w:rPr>
        <w:t xml:space="preserve"> на</w:t>
      </w:r>
      <w:r w:rsidRPr="00BE7CED">
        <w:rPr>
          <w:lang w:val="uk-UA"/>
        </w:rPr>
        <w:t xml:space="preserve"> </w:t>
      </w:r>
      <w:r>
        <w:rPr>
          <w:lang w:val="uk-UA"/>
        </w:rPr>
        <w:t>в</w:t>
      </w:r>
      <w:r w:rsidR="00BE7CED" w:rsidRPr="00BE7CED">
        <w:rPr>
          <w:lang w:val="uk-UA"/>
        </w:rPr>
        <w:t>ул.</w:t>
      </w:r>
      <w:r w:rsidRPr="00BE7CED">
        <w:rPr>
          <w:lang w:val="uk-UA"/>
        </w:rPr>
        <w:t>Симоненка</w:t>
      </w:r>
      <w:r>
        <w:rPr>
          <w:lang w:val="uk-UA"/>
        </w:rPr>
        <w:t xml:space="preserve"> </w:t>
      </w:r>
      <w:r w:rsidRPr="00BE7CED">
        <w:rPr>
          <w:lang w:val="uk-UA"/>
        </w:rPr>
        <w:t>(</w:t>
      </w:r>
      <w:r>
        <w:rPr>
          <w:lang w:val="uk-UA"/>
        </w:rPr>
        <w:t>"З</w:t>
      </w:r>
      <w:r w:rsidRPr="00BE7CED">
        <w:rPr>
          <w:lang w:val="uk-UA"/>
        </w:rPr>
        <w:t>олота нива</w:t>
      </w:r>
      <w:r>
        <w:rPr>
          <w:lang w:val="uk-UA"/>
        </w:rPr>
        <w:t>"</w:t>
      </w:r>
      <w:r w:rsidR="00BE7CED" w:rsidRPr="00BE7CED">
        <w:rPr>
          <w:lang w:val="uk-UA"/>
        </w:rPr>
        <w:t>), вул.</w:t>
      </w:r>
      <w:r w:rsidRPr="00BE7CED">
        <w:rPr>
          <w:lang w:val="uk-UA"/>
        </w:rPr>
        <w:t>Шухевичів</w:t>
      </w:r>
      <w:r>
        <w:rPr>
          <w:lang w:val="uk-UA"/>
        </w:rPr>
        <w:t xml:space="preserve"> </w:t>
      </w:r>
      <w:r w:rsidRPr="00BE7CED">
        <w:rPr>
          <w:lang w:val="uk-UA"/>
        </w:rPr>
        <w:t>(ДЮСШ),</w:t>
      </w:r>
      <w:r>
        <w:rPr>
          <w:lang w:val="uk-UA"/>
        </w:rPr>
        <w:t xml:space="preserve"> </w:t>
      </w:r>
      <w:r w:rsidR="00BE7CED" w:rsidRPr="00BE7CED">
        <w:rPr>
          <w:lang w:val="uk-UA"/>
        </w:rPr>
        <w:t>вул.</w:t>
      </w:r>
      <w:r w:rsidRPr="00BE7CED">
        <w:rPr>
          <w:lang w:val="uk-UA"/>
        </w:rPr>
        <w:t>Бельведерськ</w:t>
      </w:r>
      <w:r>
        <w:rPr>
          <w:lang w:val="uk-UA"/>
        </w:rPr>
        <w:t>ій</w:t>
      </w:r>
      <w:r w:rsidRPr="00BE7CED">
        <w:rPr>
          <w:lang w:val="uk-UA"/>
        </w:rPr>
        <w:t>, 39,</w:t>
      </w:r>
      <w:r>
        <w:rPr>
          <w:lang w:val="uk-UA"/>
        </w:rPr>
        <w:t xml:space="preserve"> </w:t>
      </w:r>
      <w:r w:rsidRPr="00BE7CED">
        <w:rPr>
          <w:lang w:val="uk-UA"/>
        </w:rPr>
        <w:t>вул.</w:t>
      </w:r>
      <w:r w:rsidR="00BE7CED">
        <w:rPr>
          <w:lang w:val="uk-UA"/>
        </w:rPr>
        <w:t xml:space="preserve">Гетьмана </w:t>
      </w:r>
      <w:r w:rsidRPr="00BE7CED">
        <w:rPr>
          <w:lang w:val="uk-UA"/>
        </w:rPr>
        <w:t>Мазепи, 35А,</w:t>
      </w:r>
      <w:r>
        <w:rPr>
          <w:lang w:val="uk-UA"/>
        </w:rPr>
        <w:t xml:space="preserve"> </w:t>
      </w:r>
      <w:r w:rsidRPr="00BE7CED">
        <w:rPr>
          <w:lang w:val="uk-UA"/>
        </w:rPr>
        <w:t xml:space="preserve">вул. </w:t>
      </w:r>
      <w:r w:rsidR="00BE7CED">
        <w:rPr>
          <w:lang w:val="uk-UA"/>
        </w:rPr>
        <w:t xml:space="preserve">Гетьмана </w:t>
      </w:r>
      <w:r w:rsidRPr="00BE7CED">
        <w:rPr>
          <w:lang w:val="uk-UA"/>
        </w:rPr>
        <w:t>Мазепи</w:t>
      </w:r>
      <w:r>
        <w:rPr>
          <w:lang w:val="uk-UA"/>
        </w:rPr>
        <w:t xml:space="preserve"> </w:t>
      </w:r>
      <w:r w:rsidRPr="00BE7CED">
        <w:rPr>
          <w:lang w:val="uk-UA"/>
        </w:rPr>
        <w:t xml:space="preserve">(перехрестя </w:t>
      </w:r>
      <w:r w:rsidR="00BE7CED">
        <w:rPr>
          <w:lang w:val="uk-UA"/>
        </w:rPr>
        <w:t xml:space="preserve">вул.Гетьмана </w:t>
      </w:r>
      <w:r w:rsidRPr="00BE7CED">
        <w:rPr>
          <w:lang w:val="uk-UA"/>
        </w:rPr>
        <w:t xml:space="preserve">Мазепи </w:t>
      </w:r>
      <w:r>
        <w:rPr>
          <w:lang w:val="uk-UA"/>
        </w:rPr>
        <w:t>-</w:t>
      </w:r>
      <w:r w:rsidRPr="00BE7CED">
        <w:rPr>
          <w:lang w:val="uk-UA"/>
        </w:rPr>
        <w:t xml:space="preserve"> Дорошенка),</w:t>
      </w:r>
      <w:r>
        <w:rPr>
          <w:lang w:val="uk-UA"/>
        </w:rPr>
        <w:t xml:space="preserve"> </w:t>
      </w:r>
      <w:r w:rsidRPr="00BE7CED">
        <w:rPr>
          <w:lang w:val="uk-UA"/>
        </w:rPr>
        <w:t>вул. Вовчинецьк</w:t>
      </w:r>
      <w:r>
        <w:rPr>
          <w:lang w:val="uk-UA"/>
        </w:rPr>
        <w:t>ій</w:t>
      </w:r>
      <w:r w:rsidRPr="00BE7CED">
        <w:rPr>
          <w:lang w:val="uk-UA"/>
        </w:rPr>
        <w:t xml:space="preserve"> – Героїв УПА, вул. Вовчинецьк</w:t>
      </w:r>
      <w:r>
        <w:rPr>
          <w:lang w:val="uk-UA"/>
        </w:rPr>
        <w:t xml:space="preserve">ій </w:t>
      </w:r>
      <w:r w:rsidRPr="00BE7CED">
        <w:rPr>
          <w:lang w:val="uk-UA"/>
        </w:rPr>
        <w:t>(</w:t>
      </w:r>
      <w:r>
        <w:rPr>
          <w:lang w:val="uk-UA"/>
        </w:rPr>
        <w:t xml:space="preserve">біля </w:t>
      </w:r>
      <w:r w:rsidRPr="00BE7CED">
        <w:rPr>
          <w:lang w:val="uk-UA"/>
        </w:rPr>
        <w:t>ЗОШ №16).</w:t>
      </w:r>
    </w:p>
    <w:p w:rsidR="00860C8D" w:rsidRDefault="00860C8D" w:rsidP="007B5FC8">
      <w:pPr>
        <w:ind w:firstLine="700"/>
        <w:jc w:val="both"/>
        <w:rPr>
          <w:lang w:val="uk-UA"/>
        </w:rPr>
      </w:pPr>
      <w:r>
        <w:lastRenderedPageBreak/>
        <w:t xml:space="preserve">Також завершено роботи з капітального ремонту тротуару на вул. Снігуровича. Тривають роботи з капітального ремонту пішохідної зони на вул. В. Стуса в м. Івано-Франківську. Повністю замінено тротуарне покриття пішохідної зони бруківкою </w:t>
      </w:r>
      <w:r>
        <w:rPr>
          <w:lang w:val="uk-UA"/>
        </w:rPr>
        <w:t>"</w:t>
      </w:r>
      <w:r>
        <w:t>Цеглина</w:t>
      </w:r>
      <w:r>
        <w:rPr>
          <w:lang w:val="uk-UA"/>
        </w:rPr>
        <w:t>"</w:t>
      </w:r>
      <w:r>
        <w:t xml:space="preserve"> та виконано роботи з освітлення.</w:t>
      </w:r>
    </w:p>
    <w:p w:rsidR="0068007A" w:rsidRPr="0068007A" w:rsidRDefault="007B5FC8" w:rsidP="007B5FC8">
      <w:pPr>
        <w:ind w:firstLine="709"/>
        <w:jc w:val="both"/>
        <w:rPr>
          <w:bCs/>
          <w:lang w:val="uk-UA"/>
        </w:rPr>
      </w:pPr>
      <w:r w:rsidRPr="0068007A">
        <w:rPr>
          <w:bCs/>
          <w:lang w:val="uk-UA"/>
        </w:rPr>
        <w:t>Продовжується реалізація про</w:t>
      </w:r>
      <w:r w:rsidR="0062608A">
        <w:rPr>
          <w:bCs/>
          <w:lang w:val="uk-UA"/>
        </w:rPr>
        <w:t>є</w:t>
      </w:r>
      <w:r w:rsidRPr="0068007A">
        <w:rPr>
          <w:bCs/>
          <w:lang w:val="uk-UA"/>
        </w:rPr>
        <w:t xml:space="preserve">кту "Оновлення тролейбусного парку </w:t>
      </w:r>
      <w:r w:rsidR="0062608A">
        <w:rPr>
          <w:bCs/>
          <w:lang w:val="uk-UA"/>
        </w:rPr>
        <w:t>м.</w:t>
      </w:r>
      <w:r w:rsidRPr="0068007A">
        <w:rPr>
          <w:bCs/>
          <w:lang w:val="uk-UA"/>
        </w:rPr>
        <w:t>Івано-Франківсь</w:t>
      </w:r>
      <w:r w:rsidR="0062608A">
        <w:rPr>
          <w:bCs/>
          <w:lang w:val="uk-UA"/>
        </w:rPr>
        <w:t xml:space="preserve">ка" (кошти: кредит ЄБРР – 8 млн євро, грантові кошти – 1 млн євро, міський бюджет – 0,5 млн </w:t>
      </w:r>
      <w:r w:rsidRPr="0068007A">
        <w:rPr>
          <w:bCs/>
          <w:lang w:val="uk-UA"/>
        </w:rPr>
        <w:t xml:space="preserve">євро). </w:t>
      </w:r>
    </w:p>
    <w:p w:rsidR="0068007A" w:rsidRPr="0068007A" w:rsidRDefault="0068007A" w:rsidP="0068007A">
      <w:pPr>
        <w:ind w:firstLine="709"/>
        <w:jc w:val="both"/>
        <w:rPr>
          <w:bCs/>
          <w:lang w:val="uk-UA"/>
        </w:rPr>
      </w:pPr>
      <w:r w:rsidRPr="0068007A">
        <w:rPr>
          <w:bCs/>
          <w:lang w:val="uk-UA"/>
        </w:rPr>
        <w:t>Закуплено 30 нових автобусів "Богдан" великого класу, 12 нових турецьких автобусів. У 2019 році отримано 29 нових тролейбусів білоруського виробництва, які придбано за кошти ЄБРР. У 2019</w:t>
      </w:r>
      <w:r w:rsidR="0062608A">
        <w:rPr>
          <w:bCs/>
          <w:lang w:val="uk-UA"/>
        </w:rPr>
        <w:t xml:space="preserve"> </w:t>
      </w:r>
      <w:r w:rsidRPr="0068007A">
        <w:rPr>
          <w:bCs/>
          <w:lang w:val="uk-UA"/>
        </w:rPr>
        <w:t>р. введено в експлуатацію 17, а в 2020р. – ще 12 тролейбусів</w:t>
      </w:r>
      <w:r w:rsidR="0062608A">
        <w:rPr>
          <w:bCs/>
          <w:lang w:val="uk-UA"/>
        </w:rPr>
        <w:t>.</w:t>
      </w:r>
    </w:p>
    <w:p w:rsidR="0068007A" w:rsidRPr="0068007A" w:rsidRDefault="00440CFE" w:rsidP="0068007A">
      <w:pPr>
        <w:ind w:firstLine="708"/>
        <w:jc w:val="both"/>
        <w:rPr>
          <w:bCs/>
          <w:lang w:val="uk-UA"/>
        </w:rPr>
      </w:pPr>
      <w:r w:rsidRPr="0068007A">
        <w:rPr>
          <w:bCs/>
          <w:lang w:val="uk-UA"/>
        </w:rPr>
        <w:t>Оголошено тендер на будівництво нової тягової підстанції (ТПП-15) потужністю 2*1600 кВА та тролейбусної лінії</w:t>
      </w:r>
      <w:r w:rsidR="0062608A">
        <w:rPr>
          <w:bCs/>
          <w:lang w:val="uk-UA"/>
        </w:rPr>
        <w:t xml:space="preserve"> </w:t>
      </w:r>
      <w:r w:rsidRPr="0068007A">
        <w:rPr>
          <w:bCs/>
          <w:lang w:val="uk-UA"/>
        </w:rPr>
        <w:t>"вул. Гетьмана Мазепи – вул. Р. Гурика – Південний бульвар-Північний бульвар".</w:t>
      </w:r>
      <w:r w:rsidR="0068007A" w:rsidRPr="0068007A">
        <w:rPr>
          <w:bCs/>
          <w:lang w:val="uk-UA"/>
        </w:rPr>
        <w:t xml:space="preserve"> </w:t>
      </w:r>
    </w:p>
    <w:p w:rsidR="0068007A" w:rsidRPr="0068007A" w:rsidRDefault="0068007A" w:rsidP="0068007A">
      <w:pPr>
        <w:ind w:firstLine="708"/>
        <w:jc w:val="both"/>
        <w:rPr>
          <w:bCs/>
          <w:lang w:val="uk-UA"/>
        </w:rPr>
      </w:pPr>
      <w:r w:rsidRPr="0068007A">
        <w:rPr>
          <w:bCs/>
          <w:lang w:val="uk-UA"/>
        </w:rPr>
        <w:t>У березні 2020р. планується впровадити електронний квиток у комунальному транспорті.</w:t>
      </w:r>
    </w:p>
    <w:p w:rsidR="0068007A" w:rsidRDefault="0068007A" w:rsidP="007B5FC8">
      <w:pPr>
        <w:ind w:firstLine="709"/>
        <w:jc w:val="both"/>
        <w:rPr>
          <w:bCs/>
          <w:highlight w:val="yellow"/>
          <w:lang w:val="uk-UA"/>
        </w:rPr>
      </w:pPr>
    </w:p>
    <w:p w:rsidR="007B5FC8" w:rsidRPr="00216AD2" w:rsidRDefault="007B5FC8" w:rsidP="007B5FC8">
      <w:pPr>
        <w:ind w:firstLine="700"/>
        <w:jc w:val="both"/>
        <w:outlineLvl w:val="0"/>
        <w:rPr>
          <w:i/>
          <w:lang w:val="uk-UA"/>
        </w:rPr>
      </w:pPr>
      <w:r w:rsidRPr="00216AD2">
        <w:rPr>
          <w:i/>
          <w:lang w:val="uk-UA"/>
        </w:rPr>
        <w:t>2.4 Містобудівна та будівельна діяльність</w:t>
      </w:r>
    </w:p>
    <w:p w:rsidR="007B5FC8" w:rsidRPr="00A1015C" w:rsidRDefault="007B5FC8" w:rsidP="007B5FC8">
      <w:pPr>
        <w:ind w:firstLine="709"/>
        <w:jc w:val="both"/>
        <w:rPr>
          <w:lang w:val="uk-UA"/>
        </w:rPr>
      </w:pPr>
      <w:r w:rsidRPr="00A1015C">
        <w:rPr>
          <w:color w:val="000000"/>
          <w:lang w:val="uk-UA" w:eastAsia="uk-UA"/>
        </w:rPr>
        <w:t xml:space="preserve">У місті Івано-Франківську </w:t>
      </w:r>
      <w:r w:rsidRPr="00A1015C">
        <w:rPr>
          <w:lang w:val="uk-UA" w:eastAsia="uk-UA"/>
        </w:rPr>
        <w:t>з</w:t>
      </w:r>
      <w:r w:rsidRPr="00A1015C">
        <w:rPr>
          <w:lang w:val="uk-UA"/>
        </w:rPr>
        <w:t>а 201</w:t>
      </w:r>
      <w:r w:rsidR="00A1015C" w:rsidRPr="00A1015C">
        <w:rPr>
          <w:lang w:val="uk-UA"/>
        </w:rPr>
        <w:t>9</w:t>
      </w:r>
      <w:r w:rsidRPr="00A1015C">
        <w:rPr>
          <w:lang w:val="uk-UA"/>
        </w:rPr>
        <w:t xml:space="preserve"> рік вироблено будівельної продукції на суму </w:t>
      </w:r>
      <w:r w:rsidR="00A1015C" w:rsidRPr="00A1015C">
        <w:rPr>
          <w:color w:val="000000"/>
          <w:lang w:val="uk-UA"/>
        </w:rPr>
        <w:t>2357,9</w:t>
      </w:r>
      <w:r w:rsidRPr="00A1015C">
        <w:rPr>
          <w:color w:val="FF0000"/>
          <w:lang w:val="uk-UA"/>
        </w:rPr>
        <w:t> </w:t>
      </w:r>
      <w:r w:rsidRPr="00A1015C">
        <w:rPr>
          <w:lang w:val="uk-UA"/>
        </w:rPr>
        <w:t xml:space="preserve">млн грн, а це </w:t>
      </w:r>
      <w:r w:rsidR="00A1015C" w:rsidRPr="00A1015C">
        <w:rPr>
          <w:lang w:val="uk-UA"/>
        </w:rPr>
        <w:t>67,3</w:t>
      </w:r>
      <w:r w:rsidRPr="00A1015C">
        <w:rPr>
          <w:lang w:val="uk-UA"/>
        </w:rPr>
        <w:t>% загальнообласного обсягу.</w:t>
      </w:r>
    </w:p>
    <w:p w:rsidR="007B5FC8" w:rsidRPr="007B5FC8" w:rsidRDefault="007B5FC8" w:rsidP="007B5FC8">
      <w:pPr>
        <w:ind w:firstLine="709"/>
        <w:jc w:val="both"/>
        <w:rPr>
          <w:highlight w:val="yellow"/>
          <w:lang w:val="uk-U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2977"/>
        <w:gridCol w:w="2835"/>
      </w:tblGrid>
      <w:tr w:rsidR="007B5FC8" w:rsidRPr="00A1015C" w:rsidTr="007B5FC8">
        <w:trPr>
          <w:trHeight w:val="335"/>
        </w:trPr>
        <w:tc>
          <w:tcPr>
            <w:tcW w:w="2835" w:type="dxa"/>
            <w:vMerge w:val="restart"/>
            <w:shd w:val="clear" w:color="auto" w:fill="auto"/>
          </w:tcPr>
          <w:p w:rsidR="007B5FC8" w:rsidRPr="00A1015C" w:rsidRDefault="007B5FC8" w:rsidP="007B5FC8">
            <w:pPr>
              <w:ind w:firstLine="709"/>
              <w:jc w:val="both"/>
              <w:rPr>
                <w:color w:val="FF0000"/>
                <w:sz w:val="24"/>
                <w:szCs w:val="24"/>
                <w:lang w:val="uk-UA"/>
              </w:rPr>
            </w:pPr>
          </w:p>
        </w:tc>
        <w:tc>
          <w:tcPr>
            <w:tcW w:w="5812" w:type="dxa"/>
            <w:gridSpan w:val="2"/>
            <w:shd w:val="clear" w:color="auto" w:fill="auto"/>
            <w:vAlign w:val="center"/>
          </w:tcPr>
          <w:p w:rsidR="007B5FC8" w:rsidRPr="00A1015C" w:rsidRDefault="007B5FC8" w:rsidP="00A1015C">
            <w:pPr>
              <w:jc w:val="center"/>
              <w:rPr>
                <w:b/>
                <w:i/>
                <w:sz w:val="24"/>
                <w:szCs w:val="24"/>
                <w:lang w:val="uk-UA"/>
              </w:rPr>
            </w:pPr>
            <w:r w:rsidRPr="00A1015C">
              <w:rPr>
                <w:b/>
                <w:i/>
                <w:sz w:val="24"/>
                <w:szCs w:val="24"/>
                <w:lang w:val="uk-UA"/>
              </w:rPr>
              <w:t>Виконано будівельних робіт у 201</w:t>
            </w:r>
            <w:r w:rsidR="00A1015C" w:rsidRPr="00A1015C">
              <w:rPr>
                <w:b/>
                <w:i/>
                <w:sz w:val="24"/>
                <w:szCs w:val="24"/>
                <w:lang w:val="uk-UA"/>
              </w:rPr>
              <w:t>9</w:t>
            </w:r>
            <w:r w:rsidRPr="00A1015C">
              <w:rPr>
                <w:b/>
                <w:i/>
                <w:sz w:val="24"/>
                <w:szCs w:val="24"/>
                <w:lang w:val="uk-UA"/>
              </w:rPr>
              <w:t>р.</w:t>
            </w:r>
          </w:p>
        </w:tc>
      </w:tr>
      <w:tr w:rsidR="007B5FC8" w:rsidRPr="00A1015C" w:rsidTr="007B5FC8">
        <w:trPr>
          <w:trHeight w:val="338"/>
        </w:trPr>
        <w:tc>
          <w:tcPr>
            <w:tcW w:w="2835" w:type="dxa"/>
            <w:vMerge/>
            <w:shd w:val="clear" w:color="auto" w:fill="auto"/>
            <w:vAlign w:val="center"/>
          </w:tcPr>
          <w:p w:rsidR="007B5FC8" w:rsidRPr="00A1015C" w:rsidRDefault="007B5FC8" w:rsidP="007B5FC8">
            <w:pPr>
              <w:ind w:firstLine="709"/>
              <w:jc w:val="both"/>
              <w:rPr>
                <w:color w:val="FF0000"/>
                <w:sz w:val="24"/>
                <w:szCs w:val="24"/>
                <w:lang w:val="uk-UA"/>
              </w:rPr>
            </w:pPr>
          </w:p>
        </w:tc>
        <w:tc>
          <w:tcPr>
            <w:tcW w:w="2977" w:type="dxa"/>
            <w:shd w:val="clear" w:color="auto" w:fill="auto"/>
            <w:vAlign w:val="center"/>
          </w:tcPr>
          <w:p w:rsidR="007B5FC8" w:rsidRPr="00A1015C" w:rsidRDefault="007B5FC8" w:rsidP="007B5FC8">
            <w:pPr>
              <w:ind w:firstLine="709"/>
              <w:jc w:val="both"/>
              <w:rPr>
                <w:b/>
                <w:i/>
                <w:sz w:val="24"/>
                <w:szCs w:val="24"/>
                <w:lang w:val="uk-UA"/>
              </w:rPr>
            </w:pPr>
            <w:r w:rsidRPr="00A1015C">
              <w:rPr>
                <w:b/>
                <w:i/>
                <w:sz w:val="24"/>
                <w:szCs w:val="24"/>
                <w:lang w:val="uk-UA"/>
              </w:rPr>
              <w:t>тис.грн</w:t>
            </w:r>
          </w:p>
        </w:tc>
        <w:tc>
          <w:tcPr>
            <w:tcW w:w="2835" w:type="dxa"/>
            <w:shd w:val="clear" w:color="auto" w:fill="auto"/>
            <w:vAlign w:val="center"/>
          </w:tcPr>
          <w:p w:rsidR="007B5FC8" w:rsidRPr="00A1015C" w:rsidRDefault="007B5FC8" w:rsidP="007B5FC8">
            <w:pPr>
              <w:jc w:val="both"/>
              <w:rPr>
                <w:b/>
                <w:i/>
                <w:sz w:val="24"/>
                <w:szCs w:val="24"/>
                <w:lang w:val="uk-UA"/>
              </w:rPr>
            </w:pPr>
            <w:r w:rsidRPr="00A1015C">
              <w:rPr>
                <w:b/>
                <w:i/>
                <w:sz w:val="24"/>
                <w:szCs w:val="24"/>
                <w:lang w:val="uk-UA"/>
              </w:rPr>
              <w:t>у % до загального обсягу</w:t>
            </w:r>
          </w:p>
        </w:tc>
      </w:tr>
      <w:tr w:rsidR="007B5FC8" w:rsidRPr="00A1015C" w:rsidTr="007B5FC8">
        <w:trPr>
          <w:trHeight w:val="231"/>
        </w:trPr>
        <w:tc>
          <w:tcPr>
            <w:tcW w:w="2835" w:type="dxa"/>
            <w:shd w:val="clear" w:color="auto" w:fill="auto"/>
            <w:vAlign w:val="bottom"/>
          </w:tcPr>
          <w:p w:rsidR="007B5FC8" w:rsidRPr="00A1015C" w:rsidRDefault="007B5FC8" w:rsidP="007B5FC8">
            <w:pPr>
              <w:ind w:firstLine="709"/>
              <w:jc w:val="both"/>
              <w:rPr>
                <w:b/>
                <w:sz w:val="24"/>
                <w:szCs w:val="24"/>
                <w:lang w:val="uk-UA"/>
              </w:rPr>
            </w:pPr>
            <w:r w:rsidRPr="00A1015C">
              <w:rPr>
                <w:b/>
                <w:sz w:val="24"/>
                <w:szCs w:val="24"/>
                <w:lang w:val="uk-UA"/>
              </w:rPr>
              <w:t>Будівництво</w:t>
            </w:r>
          </w:p>
        </w:tc>
        <w:tc>
          <w:tcPr>
            <w:tcW w:w="2977" w:type="dxa"/>
            <w:shd w:val="clear" w:color="auto" w:fill="auto"/>
            <w:vAlign w:val="bottom"/>
          </w:tcPr>
          <w:p w:rsidR="007B5FC8" w:rsidRPr="00A1015C" w:rsidRDefault="00A1015C" w:rsidP="007B5FC8">
            <w:pPr>
              <w:ind w:firstLine="709"/>
              <w:jc w:val="both"/>
              <w:rPr>
                <w:b/>
                <w:sz w:val="24"/>
                <w:szCs w:val="24"/>
                <w:lang w:val="uk-UA"/>
              </w:rPr>
            </w:pPr>
            <w:r w:rsidRPr="00A1015C">
              <w:rPr>
                <w:b/>
                <w:sz w:val="24"/>
                <w:szCs w:val="24"/>
                <w:lang w:val="uk-UA"/>
              </w:rPr>
              <w:t>237 908</w:t>
            </w:r>
          </w:p>
        </w:tc>
        <w:tc>
          <w:tcPr>
            <w:tcW w:w="2835" w:type="dxa"/>
            <w:shd w:val="clear" w:color="auto" w:fill="auto"/>
            <w:vAlign w:val="bottom"/>
          </w:tcPr>
          <w:p w:rsidR="007B5FC8" w:rsidRPr="00A1015C" w:rsidRDefault="007B5FC8" w:rsidP="007B5FC8">
            <w:pPr>
              <w:ind w:firstLine="709"/>
              <w:jc w:val="both"/>
              <w:rPr>
                <w:b/>
                <w:sz w:val="24"/>
                <w:szCs w:val="24"/>
                <w:lang w:val="uk-UA"/>
              </w:rPr>
            </w:pPr>
            <w:r w:rsidRPr="00A1015C">
              <w:rPr>
                <w:b/>
                <w:sz w:val="24"/>
                <w:szCs w:val="24"/>
                <w:lang w:val="uk-UA"/>
              </w:rPr>
              <w:t>100%</w:t>
            </w:r>
          </w:p>
        </w:tc>
      </w:tr>
      <w:tr w:rsidR="007B5FC8" w:rsidRPr="00A1015C" w:rsidTr="007B5FC8">
        <w:trPr>
          <w:trHeight w:val="265"/>
        </w:trPr>
        <w:tc>
          <w:tcPr>
            <w:tcW w:w="2835" w:type="dxa"/>
            <w:shd w:val="clear" w:color="auto" w:fill="auto"/>
            <w:vAlign w:val="bottom"/>
          </w:tcPr>
          <w:p w:rsidR="007B5FC8" w:rsidRPr="00A1015C" w:rsidRDefault="007B5FC8" w:rsidP="007B5FC8">
            <w:pPr>
              <w:ind w:firstLine="709"/>
              <w:jc w:val="both"/>
              <w:rPr>
                <w:sz w:val="24"/>
                <w:szCs w:val="24"/>
                <w:lang w:val="uk-UA"/>
              </w:rPr>
            </w:pPr>
            <w:r w:rsidRPr="00A1015C">
              <w:rPr>
                <w:sz w:val="24"/>
                <w:szCs w:val="24"/>
                <w:lang w:val="uk-UA"/>
              </w:rPr>
              <w:t>Будівлі</w:t>
            </w:r>
          </w:p>
        </w:tc>
        <w:tc>
          <w:tcPr>
            <w:tcW w:w="2977" w:type="dxa"/>
            <w:shd w:val="clear" w:color="auto" w:fill="auto"/>
            <w:vAlign w:val="bottom"/>
          </w:tcPr>
          <w:p w:rsidR="007B5FC8" w:rsidRPr="00A1015C" w:rsidRDefault="00A1015C" w:rsidP="007B5FC8">
            <w:pPr>
              <w:ind w:firstLine="709"/>
              <w:jc w:val="both"/>
              <w:rPr>
                <w:sz w:val="24"/>
                <w:szCs w:val="24"/>
                <w:lang w:val="uk-UA"/>
              </w:rPr>
            </w:pPr>
            <w:r w:rsidRPr="00A1015C">
              <w:rPr>
                <w:sz w:val="24"/>
                <w:szCs w:val="24"/>
                <w:lang w:val="uk-UA"/>
              </w:rPr>
              <w:t>1 105 152</w:t>
            </w:r>
          </w:p>
        </w:tc>
        <w:tc>
          <w:tcPr>
            <w:tcW w:w="2835" w:type="dxa"/>
            <w:shd w:val="clear" w:color="auto" w:fill="auto"/>
            <w:vAlign w:val="bottom"/>
          </w:tcPr>
          <w:p w:rsidR="007B5FC8" w:rsidRPr="00A1015C" w:rsidRDefault="00A1015C" w:rsidP="007B5FC8">
            <w:pPr>
              <w:ind w:firstLine="709"/>
              <w:jc w:val="both"/>
              <w:rPr>
                <w:sz w:val="24"/>
                <w:szCs w:val="24"/>
                <w:lang w:val="uk-UA"/>
              </w:rPr>
            </w:pPr>
            <w:r w:rsidRPr="00A1015C">
              <w:rPr>
                <w:sz w:val="24"/>
                <w:szCs w:val="24"/>
                <w:lang w:val="uk-UA"/>
              </w:rPr>
              <w:t>46,9</w:t>
            </w:r>
            <w:r w:rsidR="007B5FC8" w:rsidRPr="00A1015C">
              <w:rPr>
                <w:sz w:val="24"/>
                <w:szCs w:val="24"/>
                <w:lang w:val="uk-UA"/>
              </w:rPr>
              <w:t>%</w:t>
            </w:r>
          </w:p>
        </w:tc>
      </w:tr>
      <w:tr w:rsidR="007B5FC8" w:rsidRPr="00A1015C" w:rsidTr="007B5FC8">
        <w:tc>
          <w:tcPr>
            <w:tcW w:w="2835" w:type="dxa"/>
            <w:shd w:val="clear" w:color="auto" w:fill="auto"/>
            <w:vAlign w:val="bottom"/>
          </w:tcPr>
          <w:p w:rsidR="007B5FC8" w:rsidRPr="00A1015C" w:rsidRDefault="007B5FC8" w:rsidP="007B5FC8">
            <w:pPr>
              <w:ind w:firstLine="709"/>
              <w:jc w:val="both"/>
              <w:rPr>
                <w:sz w:val="24"/>
                <w:szCs w:val="24"/>
                <w:lang w:val="uk-UA"/>
              </w:rPr>
            </w:pPr>
            <w:r w:rsidRPr="00A1015C">
              <w:rPr>
                <w:sz w:val="24"/>
                <w:szCs w:val="24"/>
                <w:lang w:val="uk-UA"/>
              </w:rPr>
              <w:t>- житлові</w:t>
            </w:r>
          </w:p>
        </w:tc>
        <w:tc>
          <w:tcPr>
            <w:tcW w:w="2977" w:type="dxa"/>
            <w:shd w:val="clear" w:color="auto" w:fill="auto"/>
            <w:vAlign w:val="bottom"/>
          </w:tcPr>
          <w:p w:rsidR="007B5FC8" w:rsidRPr="00A1015C" w:rsidRDefault="00A1015C" w:rsidP="007B5FC8">
            <w:pPr>
              <w:ind w:firstLine="709"/>
              <w:jc w:val="both"/>
              <w:rPr>
                <w:sz w:val="24"/>
                <w:szCs w:val="24"/>
                <w:lang w:val="uk-UA"/>
              </w:rPr>
            </w:pPr>
            <w:r w:rsidRPr="00A1015C">
              <w:rPr>
                <w:sz w:val="24"/>
                <w:szCs w:val="24"/>
                <w:lang w:val="uk-UA"/>
              </w:rPr>
              <w:t>684 402</w:t>
            </w:r>
          </w:p>
        </w:tc>
        <w:tc>
          <w:tcPr>
            <w:tcW w:w="2835" w:type="dxa"/>
            <w:shd w:val="clear" w:color="auto" w:fill="auto"/>
            <w:vAlign w:val="bottom"/>
          </w:tcPr>
          <w:p w:rsidR="007B5FC8" w:rsidRPr="00A1015C" w:rsidRDefault="00A1015C" w:rsidP="007B5FC8">
            <w:pPr>
              <w:ind w:firstLine="709"/>
              <w:jc w:val="both"/>
              <w:rPr>
                <w:sz w:val="24"/>
                <w:szCs w:val="24"/>
                <w:lang w:val="uk-UA"/>
              </w:rPr>
            </w:pPr>
            <w:r w:rsidRPr="00A1015C">
              <w:rPr>
                <w:sz w:val="24"/>
                <w:szCs w:val="24"/>
                <w:lang w:val="uk-UA"/>
              </w:rPr>
              <w:t>29,0</w:t>
            </w:r>
            <w:r w:rsidR="007B5FC8" w:rsidRPr="00A1015C">
              <w:rPr>
                <w:sz w:val="24"/>
                <w:szCs w:val="24"/>
                <w:lang w:val="uk-UA"/>
              </w:rPr>
              <w:t>%</w:t>
            </w:r>
          </w:p>
        </w:tc>
      </w:tr>
      <w:tr w:rsidR="007B5FC8" w:rsidRPr="00A1015C" w:rsidTr="007B5FC8">
        <w:tc>
          <w:tcPr>
            <w:tcW w:w="2835" w:type="dxa"/>
            <w:shd w:val="clear" w:color="auto" w:fill="auto"/>
            <w:vAlign w:val="bottom"/>
          </w:tcPr>
          <w:p w:rsidR="007B5FC8" w:rsidRPr="00A1015C" w:rsidRDefault="007B5FC8" w:rsidP="007B5FC8">
            <w:pPr>
              <w:ind w:firstLine="709"/>
              <w:jc w:val="both"/>
              <w:rPr>
                <w:sz w:val="24"/>
                <w:szCs w:val="24"/>
                <w:lang w:val="uk-UA"/>
              </w:rPr>
            </w:pPr>
            <w:r w:rsidRPr="00A1015C">
              <w:rPr>
                <w:sz w:val="24"/>
                <w:szCs w:val="24"/>
                <w:lang w:val="uk-UA"/>
              </w:rPr>
              <w:t>- нежитлові</w:t>
            </w:r>
          </w:p>
        </w:tc>
        <w:tc>
          <w:tcPr>
            <w:tcW w:w="2977" w:type="dxa"/>
            <w:shd w:val="clear" w:color="auto" w:fill="auto"/>
            <w:vAlign w:val="bottom"/>
          </w:tcPr>
          <w:p w:rsidR="007B5FC8" w:rsidRPr="00A1015C" w:rsidRDefault="00A1015C" w:rsidP="007B5FC8">
            <w:pPr>
              <w:ind w:firstLine="709"/>
              <w:jc w:val="both"/>
              <w:rPr>
                <w:sz w:val="24"/>
                <w:szCs w:val="24"/>
                <w:lang w:val="uk-UA"/>
              </w:rPr>
            </w:pPr>
            <w:r w:rsidRPr="00A1015C">
              <w:rPr>
                <w:sz w:val="24"/>
                <w:szCs w:val="24"/>
                <w:lang w:val="uk-UA"/>
              </w:rPr>
              <w:t>420 750</w:t>
            </w:r>
          </w:p>
        </w:tc>
        <w:tc>
          <w:tcPr>
            <w:tcW w:w="2835" w:type="dxa"/>
            <w:shd w:val="clear" w:color="auto" w:fill="auto"/>
            <w:vAlign w:val="bottom"/>
          </w:tcPr>
          <w:p w:rsidR="007B5FC8" w:rsidRPr="00A1015C" w:rsidRDefault="00A1015C" w:rsidP="007B5FC8">
            <w:pPr>
              <w:ind w:firstLine="709"/>
              <w:jc w:val="both"/>
              <w:rPr>
                <w:sz w:val="24"/>
                <w:szCs w:val="24"/>
                <w:lang w:val="uk-UA"/>
              </w:rPr>
            </w:pPr>
            <w:r w:rsidRPr="00A1015C">
              <w:rPr>
                <w:sz w:val="24"/>
                <w:szCs w:val="24"/>
                <w:lang w:val="uk-UA"/>
              </w:rPr>
              <w:t>17,9</w:t>
            </w:r>
            <w:r w:rsidR="007B5FC8" w:rsidRPr="00A1015C">
              <w:rPr>
                <w:sz w:val="24"/>
                <w:szCs w:val="24"/>
                <w:lang w:val="uk-UA"/>
              </w:rPr>
              <w:t>%</w:t>
            </w:r>
          </w:p>
        </w:tc>
      </w:tr>
      <w:tr w:rsidR="007B5FC8" w:rsidRPr="007B5FC8" w:rsidTr="007B5FC8">
        <w:tc>
          <w:tcPr>
            <w:tcW w:w="2835" w:type="dxa"/>
            <w:shd w:val="clear" w:color="auto" w:fill="auto"/>
            <w:vAlign w:val="bottom"/>
          </w:tcPr>
          <w:p w:rsidR="007B5FC8" w:rsidRPr="00A1015C" w:rsidRDefault="007B5FC8" w:rsidP="007B5FC8">
            <w:pPr>
              <w:jc w:val="both"/>
              <w:rPr>
                <w:sz w:val="24"/>
                <w:szCs w:val="24"/>
                <w:lang w:val="uk-UA"/>
              </w:rPr>
            </w:pPr>
            <w:r w:rsidRPr="00A1015C">
              <w:rPr>
                <w:sz w:val="24"/>
                <w:szCs w:val="24"/>
                <w:lang w:val="uk-UA"/>
              </w:rPr>
              <w:t>Інженерні споруди</w:t>
            </w:r>
          </w:p>
        </w:tc>
        <w:tc>
          <w:tcPr>
            <w:tcW w:w="2977" w:type="dxa"/>
            <w:shd w:val="clear" w:color="auto" w:fill="auto"/>
            <w:vAlign w:val="bottom"/>
          </w:tcPr>
          <w:p w:rsidR="007B5FC8" w:rsidRPr="00A1015C" w:rsidRDefault="00A1015C" w:rsidP="007B5FC8">
            <w:pPr>
              <w:ind w:firstLine="709"/>
              <w:jc w:val="both"/>
              <w:rPr>
                <w:sz w:val="24"/>
                <w:szCs w:val="24"/>
                <w:lang w:val="uk-UA"/>
              </w:rPr>
            </w:pPr>
            <w:r w:rsidRPr="00A1015C">
              <w:rPr>
                <w:sz w:val="24"/>
                <w:szCs w:val="24"/>
                <w:lang w:val="uk-UA"/>
              </w:rPr>
              <w:t>1 252 756</w:t>
            </w:r>
          </w:p>
        </w:tc>
        <w:tc>
          <w:tcPr>
            <w:tcW w:w="2835" w:type="dxa"/>
            <w:shd w:val="clear" w:color="auto" w:fill="auto"/>
            <w:vAlign w:val="bottom"/>
          </w:tcPr>
          <w:p w:rsidR="007B5FC8" w:rsidRPr="00A1015C" w:rsidRDefault="00A1015C" w:rsidP="007B5FC8">
            <w:pPr>
              <w:ind w:firstLine="709"/>
              <w:jc w:val="both"/>
              <w:rPr>
                <w:sz w:val="24"/>
                <w:szCs w:val="24"/>
                <w:lang w:val="uk-UA"/>
              </w:rPr>
            </w:pPr>
            <w:r w:rsidRPr="00A1015C">
              <w:rPr>
                <w:sz w:val="24"/>
                <w:szCs w:val="24"/>
                <w:lang w:val="uk-UA"/>
              </w:rPr>
              <w:t>53,1</w:t>
            </w:r>
            <w:r w:rsidR="007B5FC8" w:rsidRPr="00A1015C">
              <w:rPr>
                <w:sz w:val="24"/>
                <w:szCs w:val="24"/>
                <w:lang w:val="uk-UA"/>
              </w:rPr>
              <w:t>%</w:t>
            </w:r>
          </w:p>
        </w:tc>
      </w:tr>
    </w:tbl>
    <w:p w:rsidR="007B5FC8" w:rsidRPr="009C5286" w:rsidRDefault="007B5FC8" w:rsidP="007B5FC8">
      <w:pPr>
        <w:ind w:firstLine="709"/>
        <w:jc w:val="both"/>
      </w:pPr>
      <w:r w:rsidRPr="00A1015C">
        <w:rPr>
          <w:lang w:val="uk-UA"/>
        </w:rPr>
        <w:t xml:space="preserve">Нове будівництво, реконструкція та технічне переоснащення склали </w:t>
      </w:r>
      <w:r w:rsidR="00A1015C" w:rsidRPr="00A1015C">
        <w:rPr>
          <w:lang w:val="uk-UA"/>
        </w:rPr>
        <w:t>85,5</w:t>
      </w:r>
      <w:r w:rsidRPr="00A1015C">
        <w:rPr>
          <w:lang w:val="uk-UA"/>
        </w:rPr>
        <w:t xml:space="preserve">% від загального обсягу виконаних будівельних робіт, капітальний і поточний ремонти – </w:t>
      </w:r>
      <w:r w:rsidR="00A1015C" w:rsidRPr="00A1015C">
        <w:rPr>
          <w:lang w:val="uk-UA"/>
        </w:rPr>
        <w:t>9,5</w:t>
      </w:r>
      <w:r w:rsidRPr="00A1015C">
        <w:rPr>
          <w:lang w:val="uk-UA"/>
        </w:rPr>
        <w:t xml:space="preserve">% та </w:t>
      </w:r>
      <w:r w:rsidR="00A1015C" w:rsidRPr="00A1015C">
        <w:rPr>
          <w:lang w:val="uk-UA"/>
        </w:rPr>
        <w:t>5</w:t>
      </w:r>
      <w:r w:rsidRPr="00A1015C">
        <w:rPr>
          <w:lang w:val="uk-UA"/>
        </w:rPr>
        <w:t>% відповідно.</w:t>
      </w:r>
    </w:p>
    <w:p w:rsidR="007B5FC8" w:rsidRPr="00A1015C" w:rsidRDefault="007B5FC8" w:rsidP="007B5FC8">
      <w:pPr>
        <w:tabs>
          <w:tab w:val="left" w:pos="400"/>
        </w:tabs>
        <w:ind w:firstLine="709"/>
        <w:jc w:val="both"/>
        <w:rPr>
          <w:lang w:val="uk-UA"/>
        </w:rPr>
      </w:pPr>
      <w:r w:rsidRPr="00A1015C">
        <w:rPr>
          <w:lang w:val="uk-UA"/>
        </w:rPr>
        <w:t xml:space="preserve">Підготовлено та подано на розгляд регіональної комісії </w:t>
      </w:r>
      <w:r w:rsidR="0062608A">
        <w:rPr>
          <w:lang w:val="uk-UA"/>
        </w:rPr>
        <w:t>6</w:t>
      </w:r>
      <w:r w:rsidRPr="00A1015C">
        <w:rPr>
          <w:lang w:val="uk-UA"/>
        </w:rPr>
        <w:t xml:space="preserve"> інвестиційн</w:t>
      </w:r>
      <w:r w:rsidR="0062608A">
        <w:rPr>
          <w:lang w:val="uk-UA"/>
        </w:rPr>
        <w:t>их проє</w:t>
      </w:r>
      <w:r w:rsidRPr="00A1015C">
        <w:rPr>
          <w:lang w:val="uk-UA"/>
        </w:rPr>
        <w:t>кти регіонального розвитку, що можуть реалізуватися у 20</w:t>
      </w:r>
      <w:r w:rsidR="00A1015C" w:rsidRPr="00A1015C">
        <w:rPr>
          <w:lang w:val="uk-UA"/>
        </w:rPr>
        <w:t>20</w:t>
      </w:r>
      <w:r w:rsidRPr="00A1015C">
        <w:rPr>
          <w:lang w:val="uk-UA"/>
        </w:rPr>
        <w:t xml:space="preserve"> році за рахунок коштів державного фонду регіонального розвитку: </w:t>
      </w:r>
    </w:p>
    <w:p w:rsidR="00A1015C" w:rsidRDefault="00A1015C" w:rsidP="007B5FC8">
      <w:pPr>
        <w:tabs>
          <w:tab w:val="left" w:pos="709"/>
        </w:tabs>
        <w:ind w:firstLine="720"/>
        <w:jc w:val="both"/>
        <w:rPr>
          <w:lang w:val="uk-UA"/>
        </w:rPr>
      </w:pPr>
      <w:r>
        <w:t xml:space="preserve">- дитячий садок в с.Крихівці Івано-Франківської міської ради (нове будівництво); </w:t>
      </w:r>
    </w:p>
    <w:p w:rsidR="00A1015C" w:rsidRDefault="00A1015C" w:rsidP="007B5FC8">
      <w:pPr>
        <w:tabs>
          <w:tab w:val="left" w:pos="709"/>
        </w:tabs>
        <w:ind w:firstLine="720"/>
        <w:jc w:val="both"/>
        <w:rPr>
          <w:lang w:val="uk-UA"/>
        </w:rPr>
      </w:pPr>
      <w:r>
        <w:t xml:space="preserve">- реконструкція дитячого садка на вул. Гната Хоткевича, 11-А в м. Івано-Франківську; </w:t>
      </w:r>
    </w:p>
    <w:p w:rsidR="00A1015C" w:rsidRDefault="00A1015C" w:rsidP="007B5FC8">
      <w:pPr>
        <w:tabs>
          <w:tab w:val="left" w:pos="709"/>
        </w:tabs>
        <w:ind w:firstLine="720"/>
        <w:jc w:val="both"/>
        <w:rPr>
          <w:lang w:val="uk-UA"/>
        </w:rPr>
      </w:pPr>
      <w:r>
        <w:t xml:space="preserve">- нове будівництво футбольного поля в м. Івано-Франківську (в районі Пасічної поблизу так званого "Німецького озера"); </w:t>
      </w:r>
    </w:p>
    <w:p w:rsidR="00A1015C" w:rsidRDefault="00A1015C" w:rsidP="007B5FC8">
      <w:pPr>
        <w:tabs>
          <w:tab w:val="left" w:pos="709"/>
        </w:tabs>
        <w:ind w:firstLine="720"/>
        <w:jc w:val="both"/>
        <w:rPr>
          <w:lang w:val="uk-UA"/>
        </w:rPr>
      </w:pPr>
      <w:r>
        <w:t xml:space="preserve">- будівництво моста через річку Бистриця Солотвинська та транспортної розв'язки в районі вул. Хіміків - Надрічна /ПВР + роботи/ (І черга – "Будівництво транспортної розв’язки по вул. Надрічна в м. Івано-Франківську /ПВР + роботи/"); </w:t>
      </w:r>
    </w:p>
    <w:p w:rsidR="00A1015C" w:rsidRDefault="00A1015C" w:rsidP="007B5FC8">
      <w:pPr>
        <w:tabs>
          <w:tab w:val="left" w:pos="709"/>
        </w:tabs>
        <w:ind w:firstLine="720"/>
        <w:jc w:val="both"/>
        <w:rPr>
          <w:lang w:val="uk-UA"/>
        </w:rPr>
      </w:pPr>
      <w:r>
        <w:t xml:space="preserve">- будівництво моста через річку Бистриця Солотвинська та транспортної розв'язки в районі вул. Хіміків - Надрічна /ПВР + роботи/ (ІІІ черга – "ІІІ черга </w:t>
      </w:r>
      <w:r>
        <w:lastRenderedPageBreak/>
        <w:t xml:space="preserve">– "Будівництво моста через річку Бистриця Солотвинська в районі вул. Хіміків – Надрічна в м. Івано-Франківську /ПВР + роботи/"); </w:t>
      </w:r>
    </w:p>
    <w:p w:rsidR="00A1015C" w:rsidRDefault="00A1015C" w:rsidP="007B5FC8">
      <w:pPr>
        <w:tabs>
          <w:tab w:val="left" w:pos="709"/>
        </w:tabs>
        <w:ind w:firstLine="720"/>
        <w:jc w:val="both"/>
        <w:rPr>
          <w:lang w:val="uk-UA"/>
        </w:rPr>
      </w:pPr>
      <w:r>
        <w:t xml:space="preserve">- реконструкція футбольного поля в с. Черніїв. </w:t>
      </w:r>
    </w:p>
    <w:p w:rsidR="007B5FC8" w:rsidRDefault="00A1015C" w:rsidP="007B5FC8">
      <w:pPr>
        <w:tabs>
          <w:tab w:val="left" w:pos="709"/>
        </w:tabs>
        <w:ind w:firstLine="720"/>
        <w:jc w:val="both"/>
        <w:rPr>
          <w:lang w:val="uk-UA"/>
        </w:rPr>
      </w:pPr>
      <w:r>
        <w:t xml:space="preserve">Дані проєкти зареєстровано на </w:t>
      </w:r>
      <w:proofErr w:type="gramStart"/>
      <w:r>
        <w:t>он-лайн</w:t>
      </w:r>
      <w:proofErr w:type="gramEnd"/>
      <w:r>
        <w:t xml:space="preserve"> платформі Державного фонду регіонального розвитку України.</w:t>
      </w:r>
    </w:p>
    <w:p w:rsidR="0062608A" w:rsidRPr="0062608A" w:rsidRDefault="0062608A" w:rsidP="007B5FC8">
      <w:pPr>
        <w:tabs>
          <w:tab w:val="left" w:pos="709"/>
        </w:tabs>
        <w:ind w:firstLine="720"/>
        <w:jc w:val="both"/>
        <w:rPr>
          <w:lang w:val="uk-UA"/>
        </w:rPr>
      </w:pPr>
    </w:p>
    <w:p w:rsidR="007B5FC8" w:rsidRPr="00A1015C" w:rsidRDefault="007B5FC8" w:rsidP="007B5FC8">
      <w:pPr>
        <w:tabs>
          <w:tab w:val="left" w:pos="720"/>
        </w:tabs>
        <w:ind w:firstLine="720"/>
        <w:jc w:val="both"/>
        <w:rPr>
          <w:i/>
          <w:lang w:val="uk-UA"/>
        </w:rPr>
      </w:pPr>
      <w:r w:rsidRPr="00A1015C">
        <w:rPr>
          <w:i/>
          <w:lang w:val="uk-UA"/>
        </w:rPr>
        <w:t>2.5 Житлово-комунальне господарство, житлова політика</w:t>
      </w:r>
    </w:p>
    <w:p w:rsidR="00A1015C" w:rsidRDefault="00A1015C" w:rsidP="007B5FC8">
      <w:pPr>
        <w:ind w:firstLine="708"/>
        <w:jc w:val="both"/>
        <w:rPr>
          <w:lang w:val="uk-UA"/>
        </w:rPr>
      </w:pPr>
      <w:r>
        <w:t>Не менш важливим та успішним завдання</w:t>
      </w:r>
      <w:r w:rsidR="0062608A">
        <w:rPr>
          <w:lang w:val="uk-UA"/>
        </w:rPr>
        <w:t>м</w:t>
      </w:r>
      <w:r>
        <w:t xml:space="preserve"> було здійснення капітальних ремонтів міжбудинкових проїздів та облаштування прибудинкових територій. </w:t>
      </w:r>
      <w:r w:rsidR="00860C8D">
        <w:t xml:space="preserve">Завершено роботи з капітального ремонту </w:t>
      </w:r>
      <w:r w:rsidR="001C7BF5">
        <w:rPr>
          <w:lang w:val="uk-UA"/>
        </w:rPr>
        <w:t xml:space="preserve">10 </w:t>
      </w:r>
      <w:r w:rsidR="00860C8D">
        <w:t>міжбудинкових проїздів та прибудинкових територій</w:t>
      </w:r>
      <w:r w:rsidR="001C7BF5">
        <w:rPr>
          <w:lang w:val="uk-UA"/>
        </w:rPr>
        <w:t>, зокрема</w:t>
      </w:r>
      <w:r w:rsidR="00860C8D">
        <w:t xml:space="preserve"> на: </w:t>
      </w:r>
    </w:p>
    <w:p w:rsidR="00A1015C" w:rsidRDefault="00860C8D" w:rsidP="007B5FC8">
      <w:pPr>
        <w:ind w:firstLine="708"/>
        <w:jc w:val="both"/>
        <w:rPr>
          <w:lang w:val="uk-UA"/>
        </w:rPr>
      </w:pPr>
      <w:r>
        <w:t xml:space="preserve">- вул. Галицькій 132, корп. 1, корп. 2, корп. 3; </w:t>
      </w:r>
    </w:p>
    <w:p w:rsidR="00A1015C" w:rsidRDefault="00860C8D" w:rsidP="007B5FC8">
      <w:pPr>
        <w:ind w:firstLine="708"/>
        <w:jc w:val="both"/>
        <w:rPr>
          <w:lang w:val="uk-UA"/>
        </w:rPr>
      </w:pPr>
      <w:r>
        <w:t xml:space="preserve">- вул. Кардинала Любомира Гузара, 7А; </w:t>
      </w:r>
    </w:p>
    <w:p w:rsidR="00A1015C" w:rsidRDefault="00860C8D" w:rsidP="007B5FC8">
      <w:pPr>
        <w:ind w:firstLine="708"/>
        <w:jc w:val="both"/>
        <w:rPr>
          <w:lang w:val="uk-UA"/>
        </w:rPr>
      </w:pPr>
      <w:r>
        <w:t xml:space="preserve">- вул. Івана Павла ІІ, 12; </w:t>
      </w:r>
    </w:p>
    <w:p w:rsidR="00A1015C" w:rsidRDefault="00860C8D" w:rsidP="007B5FC8">
      <w:pPr>
        <w:ind w:firstLine="708"/>
        <w:jc w:val="both"/>
        <w:rPr>
          <w:lang w:val="uk-UA"/>
        </w:rPr>
      </w:pPr>
      <w:r>
        <w:t xml:space="preserve">- вул. Бельведерська, 12-16; </w:t>
      </w:r>
    </w:p>
    <w:p w:rsidR="00A1015C" w:rsidRDefault="00860C8D" w:rsidP="007B5FC8">
      <w:pPr>
        <w:ind w:firstLine="708"/>
        <w:jc w:val="both"/>
        <w:rPr>
          <w:lang w:val="uk-UA"/>
        </w:rPr>
      </w:pPr>
      <w:r>
        <w:t xml:space="preserve">- </w:t>
      </w:r>
      <w:r w:rsidR="0062608A">
        <w:rPr>
          <w:lang w:val="uk-UA"/>
        </w:rPr>
        <w:t>н</w:t>
      </w:r>
      <w:r>
        <w:t xml:space="preserve">абережній ім. В. Стефаника, 2, вул. Галицькій, 111 та проїзду до будинку №101 на вул. Галицькій (ясла-садок </w:t>
      </w:r>
      <w:r w:rsidR="00D24A0C">
        <w:t>"</w:t>
      </w:r>
      <w:r>
        <w:t>Троянда</w:t>
      </w:r>
      <w:r w:rsidR="00D24A0C">
        <w:t>"</w:t>
      </w:r>
      <w:r>
        <w:t xml:space="preserve">). </w:t>
      </w:r>
    </w:p>
    <w:p w:rsidR="00860C8D" w:rsidRDefault="00860C8D" w:rsidP="007B5FC8">
      <w:pPr>
        <w:ind w:firstLine="708"/>
        <w:jc w:val="both"/>
        <w:rPr>
          <w:lang w:val="uk-UA"/>
        </w:rPr>
      </w:pPr>
      <w:r>
        <w:t xml:space="preserve">Проводяться роботи з капітального ремонту прибудинкової території та </w:t>
      </w:r>
      <w:r w:rsidR="0062608A">
        <w:t>міжбудинкового проїзду на: вул.Хіміків, 17, 19; вул.</w:t>
      </w:r>
      <w:r w:rsidR="0062608A">
        <w:rPr>
          <w:lang w:val="uk-UA"/>
        </w:rPr>
        <w:t>Г.</w:t>
      </w:r>
      <w:r w:rsidR="0062608A">
        <w:t>Хоткевича, 44А; вул. Тролейбусн</w:t>
      </w:r>
      <w:r w:rsidR="0062608A">
        <w:rPr>
          <w:lang w:val="uk-UA"/>
        </w:rPr>
        <w:t>ій</w:t>
      </w:r>
      <w:r>
        <w:t>, 14 - Целевича, 20; вул. Петлюри, 1; вул. Сухомлинського, 4/4, 6/2; вул.</w:t>
      </w:r>
      <w:r w:rsidR="0062608A">
        <w:rPr>
          <w:lang w:val="uk-UA"/>
        </w:rPr>
        <w:t>Є.</w:t>
      </w:r>
      <w:r>
        <w:t>Коновальця, 42, 44, 46; вул.</w:t>
      </w:r>
      <w:r w:rsidR="0062608A">
        <w:rPr>
          <w:lang w:val="uk-UA"/>
        </w:rPr>
        <w:t>В.</w:t>
      </w:r>
      <w:r>
        <w:t>Чорновола, 128А.</w:t>
      </w:r>
    </w:p>
    <w:p w:rsidR="00A1015C" w:rsidRDefault="00A1015C" w:rsidP="007B5FC8">
      <w:pPr>
        <w:ind w:firstLine="708"/>
        <w:jc w:val="both"/>
        <w:rPr>
          <w:lang w:val="uk-UA"/>
        </w:rPr>
      </w:pPr>
      <w:r>
        <w:t xml:space="preserve">Велика увага в 2019 році була приділена продовженню робіт з влаштування відпочинкової інфраструктури на міському озері. </w:t>
      </w:r>
      <w:r w:rsidR="0062608A">
        <w:rPr>
          <w:lang w:val="uk-UA"/>
        </w:rPr>
        <w:t>У 2019 році</w:t>
      </w:r>
      <w:r>
        <w:t xml:space="preserve"> завершено влаштування тротуарів, велосипедної доріжки та бетонної основи під бігову доріжку по всьому периметру озера. Також розпочато роботи з монтажу опор освітлення, проводиться капітальний ремонт центрального оглядового майданчика та станції для човнів. Паралельно облаштовується укріплення і озеленення берега, монтуються лавочки та урни. Проведено тендер на влаштування поліуретану на біговій доріжці.</w:t>
      </w:r>
    </w:p>
    <w:p w:rsidR="001C7BF5" w:rsidRPr="001C7BF5" w:rsidRDefault="001C7BF5" w:rsidP="007B5FC8">
      <w:pPr>
        <w:ind w:firstLine="708"/>
        <w:jc w:val="both"/>
        <w:rPr>
          <w:rFonts w:eastAsia="Times New Roman" w:cs="Times New Roman"/>
          <w:highlight w:val="yellow"/>
          <w:lang w:val="uk-UA" w:eastAsia="ru-RU"/>
        </w:rPr>
      </w:pPr>
      <w:r>
        <w:t xml:space="preserve">Також варто відмітити виконання робіт з влаштування першого в </w:t>
      </w:r>
      <w:r w:rsidRPr="00231C1E">
        <w:rPr>
          <w:lang w:val="uk-UA"/>
        </w:rPr>
        <w:t>місті</w:t>
      </w:r>
      <w:r>
        <w:t xml:space="preserve"> підземного контейнерного майданчика на вул. Грушевського.</w:t>
      </w:r>
    </w:p>
    <w:p w:rsidR="001C7BF5" w:rsidRDefault="001C7BF5" w:rsidP="007B5FC8">
      <w:pPr>
        <w:ind w:firstLine="709"/>
        <w:jc w:val="both"/>
        <w:rPr>
          <w:lang w:val="uk-UA"/>
        </w:rPr>
      </w:pPr>
      <w:r>
        <w:t xml:space="preserve">Важливим напрямком діяльності у 2019 році стало виконання </w:t>
      </w:r>
      <w:r w:rsidR="00D24A0C">
        <w:t>"</w:t>
      </w:r>
      <w:r>
        <w:t>Програми розвитку ме</w:t>
      </w:r>
      <w:r w:rsidR="00231C1E">
        <w:t>режі громадських вбиралень в м.</w:t>
      </w:r>
      <w:r>
        <w:t>Івано-Франківську</w:t>
      </w:r>
      <w:r w:rsidR="00D24A0C">
        <w:t>"</w:t>
      </w:r>
      <w:r>
        <w:t>, яка спрямована на вирішення проблеми забезпечення мешканців та гостей міста, в</w:t>
      </w:r>
      <w:r w:rsidR="00231C1E">
        <w:t xml:space="preserve"> тому числі мало</w:t>
      </w:r>
      <w:r>
        <w:t xml:space="preserve">мобільних груп населення, громадськими туалетами. </w:t>
      </w:r>
      <w:r w:rsidRPr="00231C1E">
        <w:rPr>
          <w:lang w:val="uk-UA"/>
        </w:rPr>
        <w:t>Для виконання поставленої мети: забезпечення населення міста необхідними санітарно-гігієнічними вимогами, створення належних умов перебування мешканців та гостей міста в історико-архітектурному центрі міста, у 2019 році завершено роботи з влаштування модульної громадської вбиральні на вулиці Валовій (поруч управління земельних відносин). Вбиральня пристосована для людей з особливими потребами. Також вона містить</w:t>
      </w:r>
      <w:r>
        <w:t xml:space="preserve"> довідкову інформацію з використанням шрифта Брайля. Обидві кабіни обладнані кнопками екстреного виклику, на випадок якщо комусь стане погано. Окрім звичних зручностей у вбиральні також є пеленальний столик для немовлят. Приміщення туалету має батареї обігріву.</w:t>
      </w:r>
    </w:p>
    <w:p w:rsidR="001C7BF5" w:rsidRPr="001C7BF5" w:rsidRDefault="001C7BF5" w:rsidP="007B5FC8">
      <w:pPr>
        <w:ind w:firstLine="709"/>
        <w:jc w:val="both"/>
        <w:rPr>
          <w:highlight w:val="yellow"/>
          <w:lang w:val="uk-UA"/>
        </w:rPr>
      </w:pPr>
      <w:r>
        <w:lastRenderedPageBreak/>
        <w:t>Важливим елементом благоустрою, стало озеленення міста. Зокрема на послуги з</w:t>
      </w:r>
      <w:r w:rsidR="00881A22">
        <w:rPr>
          <w:lang w:val="uk-UA"/>
        </w:rPr>
        <w:t>і</w:t>
      </w:r>
      <w:r>
        <w:t xml:space="preserve"> зрізки аварійних дерев, формування крон дерев та садіння нових дерев і кущів було передбачено 10</w:t>
      </w:r>
      <w:r>
        <w:rPr>
          <w:lang w:val="uk-UA"/>
        </w:rPr>
        <w:t>,</w:t>
      </w:r>
      <w:r>
        <w:t>6</w:t>
      </w:r>
      <w:r>
        <w:rPr>
          <w:lang w:val="uk-UA"/>
        </w:rPr>
        <w:t xml:space="preserve"> млн</w:t>
      </w:r>
      <w:r>
        <w:t xml:space="preserve"> грн, що на 956,9 тис. грн більше</w:t>
      </w:r>
      <w:r w:rsidR="00881A22">
        <w:rPr>
          <w:lang w:val="uk-UA"/>
        </w:rPr>
        <w:t>,</w:t>
      </w:r>
      <w:r>
        <w:t xml:space="preserve"> ніж у 2018 році. </w:t>
      </w:r>
      <w:r>
        <w:rPr>
          <w:lang w:val="uk-UA"/>
        </w:rPr>
        <w:t>Б</w:t>
      </w:r>
      <w:r>
        <w:t xml:space="preserve">уло </w:t>
      </w:r>
      <w:r>
        <w:rPr>
          <w:lang w:val="uk-UA"/>
        </w:rPr>
        <w:t xml:space="preserve">проведено </w:t>
      </w:r>
      <w:r>
        <w:t>зріз</w:t>
      </w:r>
      <w:r>
        <w:rPr>
          <w:lang w:val="uk-UA"/>
        </w:rPr>
        <w:t>ку</w:t>
      </w:r>
      <w:r>
        <w:t xml:space="preserve"> 635 аварійних дерев, обрізку та формування крон дерев на вулицях міста, вздовж ліній електропередач та поблизу світлофорних об’єктів. Зокрема, проведено обрізку нижніх гілок та формування крон на 1035 деревах, викорчувано 443 пні. </w:t>
      </w:r>
      <w:r>
        <w:rPr>
          <w:lang w:val="uk-UA"/>
        </w:rPr>
        <w:t xml:space="preserve">Також </w:t>
      </w:r>
      <w:r>
        <w:t>посаджено 594 дерев. Причому, як і в попередньому році</w:t>
      </w:r>
      <w:r w:rsidR="00881A22">
        <w:rPr>
          <w:lang w:val="uk-UA"/>
        </w:rPr>
        <w:t>,</w:t>
      </w:r>
      <w:r>
        <w:t xml:space="preserve"> </w:t>
      </w:r>
      <w:r>
        <w:rPr>
          <w:lang w:val="uk-UA"/>
        </w:rPr>
        <w:t xml:space="preserve">встановлено </w:t>
      </w:r>
      <w:r>
        <w:t>вимоги до саджанців дерев</w:t>
      </w:r>
      <w:r>
        <w:rPr>
          <w:lang w:val="uk-UA"/>
        </w:rPr>
        <w:t>а:</w:t>
      </w:r>
      <w:r>
        <w:t xml:space="preserve"> не нижче 2,5 м, з комом землі, що забезпечило максимальне приживлення дерев. Окрім дерев, </w:t>
      </w:r>
      <w:r w:rsidR="00881A22">
        <w:rPr>
          <w:lang w:val="uk-UA"/>
        </w:rPr>
        <w:t xml:space="preserve">було </w:t>
      </w:r>
      <w:r w:rsidR="00881A22">
        <w:t>висаджено 3600 ку</w:t>
      </w:r>
      <w:r w:rsidR="00881A22">
        <w:rPr>
          <w:lang w:val="uk-UA"/>
        </w:rPr>
        <w:t>щ</w:t>
      </w:r>
      <w:r>
        <w:t>ів бірючини для формування живоплоту вздовж велодоріжки на набережній ім.</w:t>
      </w:r>
      <w:r w:rsidR="00881A22">
        <w:t>В.</w:t>
      </w:r>
      <w:r>
        <w:t xml:space="preserve">Стефаника. </w:t>
      </w:r>
      <w:r w:rsidR="00881A22">
        <w:rPr>
          <w:lang w:val="uk-UA"/>
        </w:rPr>
        <w:t>На</w:t>
      </w:r>
      <w:r w:rsidR="00881A22">
        <w:t xml:space="preserve"> утриманн</w:t>
      </w:r>
      <w:r w:rsidR="00881A22">
        <w:rPr>
          <w:lang w:val="uk-UA"/>
        </w:rPr>
        <w:t>я</w:t>
      </w:r>
      <w:r w:rsidR="00881A22">
        <w:t xml:space="preserve"> клумб та зелених зон</w:t>
      </w:r>
      <w:r w:rsidR="00881A22">
        <w:rPr>
          <w:lang w:val="uk-UA"/>
        </w:rPr>
        <w:t xml:space="preserve"> </w:t>
      </w:r>
      <w:r>
        <w:t>з міського бюджету в 2019 році було виділено 4000,0 тис. грн.</w:t>
      </w:r>
    </w:p>
    <w:p w:rsidR="0068007A" w:rsidRPr="00E2548C" w:rsidRDefault="00777FB3" w:rsidP="007B5FC8">
      <w:pPr>
        <w:ind w:firstLine="700"/>
        <w:jc w:val="both"/>
        <w:rPr>
          <w:lang w:val="uk-UA"/>
        </w:rPr>
      </w:pPr>
      <w:r>
        <w:rPr>
          <w:lang w:val="uk-UA"/>
        </w:rPr>
        <w:t>Одним із важливих напрямків</w:t>
      </w:r>
      <w:r w:rsidR="0068007A">
        <w:t xml:space="preserve"> підтримки ОСББ, започаткованим в 2018 році, </w:t>
      </w:r>
      <w:r>
        <w:rPr>
          <w:lang w:val="uk-UA"/>
        </w:rPr>
        <w:t>є</w:t>
      </w:r>
      <w:r w:rsidR="0068007A">
        <w:t xml:space="preserve"> відшкодування за кредитами, залученими ОСББ у кредитно-фінансових установах на впровадження енергозберігаючих заходів. Зокрема, в міському бюджеті на 2019 рік </w:t>
      </w:r>
      <w:r>
        <w:t>було передбачено 831,1 тис. грн</w:t>
      </w:r>
      <w:r w:rsidR="0068007A">
        <w:t xml:space="preserve">, з яких відшкодовано 80,3 тис. грн. Чимало об’єктів було зроблено також і за рахунок коштів Програми парципаторного бюджетування та за </w:t>
      </w:r>
      <w:r w:rsidR="0068007A" w:rsidRPr="00E2548C">
        <w:t xml:space="preserve">рахунок коштів депутатського фонду. </w:t>
      </w:r>
    </w:p>
    <w:p w:rsidR="00E2548C" w:rsidRPr="00E2548C" w:rsidRDefault="00E2548C" w:rsidP="00E2548C">
      <w:pPr>
        <w:ind w:firstLine="705"/>
        <w:jc w:val="both"/>
        <w:rPr>
          <w:bCs/>
          <w:lang w:val="uk-UA"/>
        </w:rPr>
      </w:pPr>
      <w:r w:rsidRPr="00E2548C">
        <w:rPr>
          <w:lang w:val="uk-UA"/>
        </w:rPr>
        <w:t xml:space="preserve">У 2019 році </w:t>
      </w:r>
      <w:r w:rsidR="007B5FC8" w:rsidRPr="00E2548C">
        <w:rPr>
          <w:lang w:val="uk-UA"/>
        </w:rPr>
        <w:t xml:space="preserve">КП "Івано-Франківськводоекотехпром" </w:t>
      </w:r>
      <w:r w:rsidRPr="00E2548C">
        <w:rPr>
          <w:lang w:val="uk-UA"/>
        </w:rPr>
        <w:t>забезпечувалися  заходи з б</w:t>
      </w:r>
      <w:r w:rsidRPr="00E2548C">
        <w:rPr>
          <w:bCs/>
          <w:lang w:val="uk-UA"/>
        </w:rPr>
        <w:t xml:space="preserve">удівництва колектора зовнішньої дощової каналізації з камери перекачування в м.Івано-Франківську від вулиці Надрічної до вулиці Промислової через вулицю Крайківського до початку вулиці Гарбарської. </w:t>
      </w:r>
      <w:r w:rsidRPr="005B772A">
        <w:rPr>
          <w:bCs/>
          <w:lang w:val="uk-UA"/>
        </w:rPr>
        <w:t xml:space="preserve">На сьогодні альтернативи цьому колектору не існує. Його відсутність приводить до підтоплення вулиць, заповнення колекторів побутової каналізації дощовою, що є неприпустимо при існуючих потужностях очисних споруд міста. </w:t>
      </w:r>
      <w:r w:rsidRPr="00E2548C">
        <w:rPr>
          <w:bCs/>
        </w:rPr>
        <w:t>У зв</w:t>
      </w:r>
      <w:r w:rsidRPr="009C5286">
        <w:rPr>
          <w:bCs/>
        </w:rPr>
        <w:t>’</w:t>
      </w:r>
      <w:r w:rsidRPr="00E2548C">
        <w:rPr>
          <w:bCs/>
          <w:lang w:val="uk-UA"/>
        </w:rPr>
        <w:t>язку з цим частина існуючих колекторів підлягає демон</w:t>
      </w:r>
      <w:r w:rsidR="00777FB3">
        <w:rPr>
          <w:bCs/>
          <w:lang w:val="uk-UA"/>
        </w:rPr>
        <w:t>т</w:t>
      </w:r>
      <w:r w:rsidRPr="00E2548C">
        <w:rPr>
          <w:bCs/>
          <w:lang w:val="uk-UA"/>
        </w:rPr>
        <w:t>ажу з заміною на більший діаметр по вул. Промисловій та вул. Крайківського. Загалом відведення дощових та талих вод буде забезпечено системою дощової каналізації.</w:t>
      </w:r>
      <w:r w:rsidRPr="00E2548C">
        <w:rPr>
          <w:bCs/>
        </w:rPr>
        <w:t xml:space="preserve"> </w:t>
      </w:r>
    </w:p>
    <w:p w:rsidR="00E2548C" w:rsidRPr="00E2548C" w:rsidRDefault="00E2548C" w:rsidP="00E2548C">
      <w:pPr>
        <w:ind w:firstLine="705"/>
        <w:jc w:val="both"/>
        <w:rPr>
          <w:bCs/>
          <w:lang w:val="uk-UA"/>
        </w:rPr>
      </w:pPr>
      <w:r w:rsidRPr="00E2548C">
        <w:rPr>
          <w:bCs/>
          <w:lang w:val="uk-UA"/>
        </w:rPr>
        <w:t xml:space="preserve">Необхідність будівництва нової водопровідної насосної станції на вул.Целевича зумовлена тим, що мікрорайон </w:t>
      </w:r>
      <w:r w:rsidR="00B14C1F">
        <w:rPr>
          <w:bCs/>
          <w:lang w:val="uk-UA"/>
        </w:rPr>
        <w:t>"</w:t>
      </w:r>
      <w:r w:rsidRPr="00E2548C">
        <w:rPr>
          <w:bCs/>
          <w:lang w:val="uk-UA"/>
        </w:rPr>
        <w:t>Пасічна</w:t>
      </w:r>
      <w:r w:rsidR="00B14C1F">
        <w:rPr>
          <w:bCs/>
          <w:lang w:val="uk-UA"/>
        </w:rPr>
        <w:t>"</w:t>
      </w:r>
      <w:r w:rsidRPr="00E2548C">
        <w:rPr>
          <w:bCs/>
          <w:lang w:val="uk-UA"/>
        </w:rPr>
        <w:t xml:space="preserve"> за останній десяток років масштабно розбудовується, а відтак суттєво зросла потреба у водозабезпеченні. Загальна кошторисна вартість будівництва водопровідної насосної станції на Целевича становила 25,2 млн грн.</w:t>
      </w:r>
    </w:p>
    <w:p w:rsidR="00D77287" w:rsidRPr="00D77287" w:rsidRDefault="00D77287" w:rsidP="00D77287">
      <w:pPr>
        <w:ind w:firstLine="709"/>
        <w:jc w:val="both"/>
      </w:pPr>
      <w:r w:rsidRPr="00D77287">
        <w:rPr>
          <w:lang w:val="uk-UA"/>
        </w:rPr>
        <w:t>ДМП "Івано-Франківськтеплокомуненерго" продов</w:t>
      </w:r>
      <w:r w:rsidR="00B14C1F">
        <w:rPr>
          <w:lang w:val="uk-UA"/>
        </w:rPr>
        <w:t>ж</w:t>
      </w:r>
      <w:r w:rsidRPr="00D77287">
        <w:rPr>
          <w:lang w:val="uk-UA"/>
        </w:rPr>
        <w:t xml:space="preserve">ує впровадження </w:t>
      </w:r>
      <w:r w:rsidRPr="009C5286">
        <w:rPr>
          <w:bCs/>
          <w:lang w:val="uk-UA"/>
        </w:rPr>
        <w:t>Про</w:t>
      </w:r>
      <w:r>
        <w:rPr>
          <w:bCs/>
          <w:lang w:val="uk-UA"/>
        </w:rPr>
        <w:t>є</w:t>
      </w:r>
      <w:r w:rsidRPr="009C5286">
        <w:rPr>
          <w:bCs/>
          <w:lang w:val="uk-UA"/>
        </w:rPr>
        <w:t>кт</w:t>
      </w:r>
      <w:r w:rsidRPr="00D77287">
        <w:rPr>
          <w:bCs/>
          <w:lang w:val="uk-UA"/>
        </w:rPr>
        <w:t>у</w:t>
      </w:r>
      <w:r w:rsidRPr="009C5286">
        <w:rPr>
          <w:bCs/>
          <w:lang w:val="uk-UA"/>
        </w:rPr>
        <w:t xml:space="preserve"> </w:t>
      </w:r>
      <w:r w:rsidR="00E42E39">
        <w:rPr>
          <w:bCs/>
          <w:lang w:val="uk-UA"/>
        </w:rPr>
        <w:t>"</w:t>
      </w:r>
      <w:r w:rsidRPr="009C5286">
        <w:rPr>
          <w:bCs/>
          <w:lang w:val="uk-UA"/>
        </w:rPr>
        <w:t>Реконструкція та модернізація системи централізованого теплопостачання міста Івано-Франківська</w:t>
      </w:r>
      <w:r w:rsidR="00E42E39">
        <w:rPr>
          <w:bCs/>
          <w:lang w:val="uk-UA"/>
        </w:rPr>
        <w:t>"</w:t>
      </w:r>
      <w:r w:rsidRPr="009C5286">
        <w:rPr>
          <w:bCs/>
          <w:lang w:val="uk-UA"/>
        </w:rPr>
        <w:t xml:space="preserve"> </w:t>
      </w:r>
      <w:r w:rsidRPr="009C5286">
        <w:rPr>
          <w:lang w:val="uk-UA"/>
        </w:rPr>
        <w:t xml:space="preserve">за кредитні кошти ЄБРР </w:t>
      </w:r>
      <w:r w:rsidR="00B14C1F">
        <w:rPr>
          <w:lang w:val="uk-UA"/>
        </w:rPr>
        <w:t>у</w:t>
      </w:r>
      <w:r w:rsidRPr="009C5286">
        <w:rPr>
          <w:lang w:val="uk-UA"/>
        </w:rPr>
        <w:t xml:space="preserve"> розмірі 7,2 млн євро  та грантових коштів Шведського агентства </w:t>
      </w:r>
      <w:r w:rsidRPr="00D77287">
        <w:rPr>
          <w:lang w:val="en-US"/>
        </w:rPr>
        <w:t>SIDA</w:t>
      </w:r>
      <w:r w:rsidR="00B14C1F">
        <w:rPr>
          <w:lang w:val="uk-UA"/>
        </w:rPr>
        <w:t xml:space="preserve"> в розмірі 3,6 млн</w:t>
      </w:r>
      <w:r w:rsidRPr="009C5286">
        <w:rPr>
          <w:lang w:val="uk-UA"/>
        </w:rPr>
        <w:t xml:space="preserve"> євро. </w:t>
      </w:r>
      <w:r w:rsidRPr="00D77287">
        <w:t>Загальна сума про</w:t>
      </w:r>
      <w:r w:rsidR="00B14C1F">
        <w:rPr>
          <w:lang w:val="uk-UA"/>
        </w:rPr>
        <w:t>є</w:t>
      </w:r>
      <w:r w:rsidR="00B14C1F">
        <w:t>кту 10,8 млн</w:t>
      </w:r>
      <w:r w:rsidRPr="00D77287">
        <w:t xml:space="preserve"> євро.</w:t>
      </w:r>
    </w:p>
    <w:p w:rsidR="00D77287" w:rsidRPr="00D77287" w:rsidRDefault="00B14C1F" w:rsidP="00D77287">
      <w:pPr>
        <w:ind w:firstLine="709"/>
        <w:jc w:val="both"/>
        <w:rPr>
          <w:bCs/>
        </w:rPr>
      </w:pPr>
      <w:r>
        <w:rPr>
          <w:lang w:val="uk-UA"/>
        </w:rPr>
        <w:t>Даний проєк</w:t>
      </w:r>
      <w:r w:rsidR="00D77287">
        <w:rPr>
          <w:lang w:val="uk-UA"/>
        </w:rPr>
        <w:t xml:space="preserve">т включє в себе два </w:t>
      </w:r>
      <w:r w:rsidR="00D77287" w:rsidRPr="00D77287">
        <w:rPr>
          <w:bCs/>
        </w:rPr>
        <w:t>заходи:</w:t>
      </w:r>
    </w:p>
    <w:p w:rsidR="00D77287" w:rsidRPr="00DD1BEC" w:rsidRDefault="00D77287" w:rsidP="00D77287">
      <w:pPr>
        <w:ind w:firstLine="709"/>
        <w:jc w:val="both"/>
        <w:rPr>
          <w:bCs/>
        </w:rPr>
      </w:pPr>
      <w:r w:rsidRPr="00D77287">
        <w:rPr>
          <w:bCs/>
        </w:rPr>
        <w:t xml:space="preserve">1. </w:t>
      </w:r>
      <w:r>
        <w:rPr>
          <w:bCs/>
          <w:lang w:val="uk-UA"/>
        </w:rPr>
        <w:t>"</w:t>
      </w:r>
      <w:r w:rsidRPr="00D77287">
        <w:rPr>
          <w:bCs/>
        </w:rPr>
        <w:t>Реконструкція т</w:t>
      </w:r>
      <w:r w:rsidR="00B14C1F">
        <w:rPr>
          <w:bCs/>
        </w:rPr>
        <w:t>а модернізація котельні на вул.</w:t>
      </w:r>
      <w:r w:rsidRPr="00D77287">
        <w:rPr>
          <w:bCs/>
        </w:rPr>
        <w:t>Військових ветеранів, 8а</w:t>
      </w:r>
      <w:r>
        <w:rPr>
          <w:bCs/>
          <w:lang w:val="uk-UA"/>
        </w:rPr>
        <w:t xml:space="preserve">". </w:t>
      </w:r>
      <w:r w:rsidRPr="00DD1BEC">
        <w:rPr>
          <w:bCs/>
        </w:rPr>
        <w:t>Відповідно до про</w:t>
      </w:r>
      <w:r>
        <w:rPr>
          <w:bCs/>
          <w:lang w:val="uk-UA"/>
        </w:rPr>
        <w:t>є</w:t>
      </w:r>
      <w:r w:rsidRPr="00DD1BEC">
        <w:rPr>
          <w:bCs/>
        </w:rPr>
        <w:t xml:space="preserve">кту в котельні встановлено чотири газові котли потужністю </w:t>
      </w:r>
      <w:r w:rsidRPr="00E2548C">
        <w:rPr>
          <w:bCs/>
        </w:rPr>
        <w:t>2 МВт</w:t>
      </w:r>
      <w:r w:rsidRPr="00DD1BEC">
        <w:rPr>
          <w:b/>
          <w:bCs/>
        </w:rPr>
        <w:t xml:space="preserve"> </w:t>
      </w:r>
      <w:r w:rsidRPr="00DD1BEC">
        <w:rPr>
          <w:bCs/>
        </w:rPr>
        <w:t>кожен з допоміжним обладнанням, замінено насосне обладнання, проведена повна автоматизація та диспетчеризація котельні</w:t>
      </w:r>
    </w:p>
    <w:p w:rsidR="00D77287" w:rsidRPr="00EC74F9" w:rsidRDefault="00D77287" w:rsidP="00B14C1F">
      <w:pPr>
        <w:numPr>
          <w:ilvl w:val="0"/>
          <w:numId w:val="31"/>
        </w:numPr>
        <w:tabs>
          <w:tab w:val="left" w:pos="851"/>
        </w:tabs>
        <w:ind w:left="0" w:firstLine="709"/>
        <w:jc w:val="both"/>
        <w:rPr>
          <w:bCs/>
        </w:rPr>
      </w:pPr>
      <w:r w:rsidRPr="00EC74F9">
        <w:rPr>
          <w:bCs/>
        </w:rPr>
        <w:lastRenderedPageBreak/>
        <w:t>Про</w:t>
      </w:r>
      <w:r w:rsidRPr="00EC74F9">
        <w:rPr>
          <w:bCs/>
          <w:lang w:val="uk-UA"/>
        </w:rPr>
        <w:t>є</w:t>
      </w:r>
      <w:r w:rsidRPr="00EC74F9">
        <w:rPr>
          <w:bCs/>
        </w:rPr>
        <w:t xml:space="preserve">кт </w:t>
      </w:r>
      <w:r w:rsidRPr="00EC74F9">
        <w:rPr>
          <w:bCs/>
          <w:lang w:val="uk-UA"/>
        </w:rPr>
        <w:t>"</w:t>
      </w:r>
      <w:r w:rsidRPr="00EC74F9">
        <w:rPr>
          <w:bCs/>
        </w:rPr>
        <w:t>Реконструкція та модернізація котельні на вул. Медична 17а</w:t>
      </w:r>
      <w:r w:rsidRPr="00EC74F9">
        <w:rPr>
          <w:bCs/>
          <w:lang w:val="uk-UA"/>
        </w:rPr>
        <w:t>".</w:t>
      </w:r>
      <w:r w:rsidR="00EC74F9" w:rsidRPr="00EC74F9">
        <w:rPr>
          <w:bCs/>
          <w:lang w:val="uk-UA"/>
        </w:rPr>
        <w:t xml:space="preserve"> </w:t>
      </w:r>
      <w:r w:rsidR="00EC74F9">
        <w:rPr>
          <w:bCs/>
          <w:lang w:val="uk-UA"/>
        </w:rPr>
        <w:t>В</w:t>
      </w:r>
      <w:r w:rsidRPr="00EC74F9">
        <w:rPr>
          <w:bCs/>
        </w:rPr>
        <w:t>становлено два нові газові котли потужністю 0,85 МВт кожен з допоміжним обладнанням та один котел на біопаливі потужністю 0,82 МВт з автоматичною системою подачі палива.</w:t>
      </w:r>
    </w:p>
    <w:p w:rsidR="00D77287" w:rsidRPr="00DD1BEC" w:rsidRDefault="00D77287" w:rsidP="00D77287">
      <w:pPr>
        <w:tabs>
          <w:tab w:val="left" w:pos="709"/>
        </w:tabs>
        <w:jc w:val="both"/>
        <w:rPr>
          <w:bCs/>
        </w:rPr>
      </w:pPr>
      <w:r w:rsidRPr="00D77287">
        <w:rPr>
          <w:bCs/>
          <w:lang w:val="uk-UA"/>
        </w:rPr>
        <w:tab/>
      </w:r>
      <w:r w:rsidRPr="00D77287">
        <w:rPr>
          <w:bCs/>
        </w:rPr>
        <w:t xml:space="preserve"> Відповідно до про</w:t>
      </w:r>
      <w:r w:rsidR="00EC74F9">
        <w:rPr>
          <w:bCs/>
          <w:lang w:val="uk-UA"/>
        </w:rPr>
        <w:t>є</w:t>
      </w:r>
      <w:r w:rsidRPr="00D77287">
        <w:rPr>
          <w:bCs/>
        </w:rPr>
        <w:t>кт</w:t>
      </w:r>
      <w:r w:rsidR="00B14C1F">
        <w:rPr>
          <w:bCs/>
        </w:rPr>
        <w:t>у в котельні по вул. Тролейбусн</w:t>
      </w:r>
      <w:r w:rsidR="00B14C1F">
        <w:rPr>
          <w:bCs/>
          <w:lang w:val="uk-UA"/>
        </w:rPr>
        <w:t>ій</w:t>
      </w:r>
      <w:r w:rsidRPr="00D77287">
        <w:rPr>
          <w:bCs/>
        </w:rPr>
        <w:t>, 40А</w:t>
      </w:r>
      <w:r w:rsidRPr="00DD1BEC">
        <w:rPr>
          <w:bCs/>
        </w:rPr>
        <w:t xml:space="preserve"> встановлено один котел на біопаливі потужністю 4 МВт, ККД 87% з конденсаційним економайзером з системою очищення конденсату.</w:t>
      </w:r>
      <w:r>
        <w:rPr>
          <w:bCs/>
        </w:rPr>
        <w:t xml:space="preserve"> Замінено два мережних насоси на енергоефективні з частотними регуляторами до них</w:t>
      </w:r>
      <w:r w:rsidR="00EC74F9">
        <w:rPr>
          <w:bCs/>
          <w:lang w:val="uk-UA"/>
        </w:rPr>
        <w:t xml:space="preserve">. </w:t>
      </w:r>
      <w:r w:rsidRPr="00DD1BEC">
        <w:rPr>
          <w:bCs/>
        </w:rPr>
        <w:t>Збудовано склад з автоматичною системою паливоподачі. Також було поставлено пересувн</w:t>
      </w:r>
      <w:r w:rsidR="00EC74F9">
        <w:rPr>
          <w:bCs/>
          <w:lang w:val="uk-UA"/>
        </w:rPr>
        <w:t>у</w:t>
      </w:r>
      <w:r w:rsidR="00EC74F9">
        <w:rPr>
          <w:bCs/>
        </w:rPr>
        <w:t xml:space="preserve"> машин</w:t>
      </w:r>
      <w:r w:rsidR="00EC74F9">
        <w:rPr>
          <w:bCs/>
          <w:lang w:val="uk-UA"/>
        </w:rPr>
        <w:t>у</w:t>
      </w:r>
      <w:r w:rsidRPr="00DD1BEC">
        <w:rPr>
          <w:bCs/>
        </w:rPr>
        <w:t xml:space="preserve"> для подрібнення деревини (рубильна машина) та навантажувач дерев’яної щепи (екскаватор-навантажувач).  </w:t>
      </w:r>
    </w:p>
    <w:p w:rsidR="00305386" w:rsidRPr="00305386" w:rsidRDefault="00305386" w:rsidP="00EC74F9">
      <w:pPr>
        <w:ind w:firstLine="705"/>
        <w:jc w:val="both"/>
        <w:rPr>
          <w:bCs/>
          <w:lang w:val="uk-UA"/>
        </w:rPr>
      </w:pPr>
      <w:r w:rsidRPr="00305386">
        <w:rPr>
          <w:bCs/>
        </w:rPr>
        <w:t>Завершен</w:t>
      </w:r>
      <w:r>
        <w:rPr>
          <w:bCs/>
          <w:lang w:val="uk-UA"/>
        </w:rPr>
        <w:t>о</w:t>
      </w:r>
      <w:r w:rsidRPr="00305386">
        <w:rPr>
          <w:bCs/>
        </w:rPr>
        <w:t xml:space="preserve"> роботи по </w:t>
      </w:r>
      <w:r w:rsidR="00EC4FE2">
        <w:rPr>
          <w:bCs/>
        </w:rPr>
        <w:t>про</w:t>
      </w:r>
      <w:r w:rsidR="00EC4FE2">
        <w:rPr>
          <w:bCs/>
          <w:lang w:val="uk-UA"/>
        </w:rPr>
        <w:t>є</w:t>
      </w:r>
      <w:r>
        <w:rPr>
          <w:bCs/>
        </w:rPr>
        <w:t xml:space="preserve">кту </w:t>
      </w:r>
      <w:r>
        <w:rPr>
          <w:bCs/>
          <w:lang w:val="uk-UA"/>
        </w:rPr>
        <w:t>"</w:t>
      </w:r>
      <w:r w:rsidRPr="00305386">
        <w:rPr>
          <w:bCs/>
        </w:rPr>
        <w:t xml:space="preserve">Реконструкція магістральної теплової мережі </w:t>
      </w:r>
      <w:proofErr w:type="gramStart"/>
      <w:r w:rsidRPr="00305386">
        <w:rPr>
          <w:bCs/>
        </w:rPr>
        <w:t>на  вул.</w:t>
      </w:r>
      <w:r w:rsidR="00EC4FE2">
        <w:rPr>
          <w:bCs/>
          <w:lang w:val="uk-UA"/>
        </w:rPr>
        <w:t>В.</w:t>
      </w:r>
      <w:r w:rsidRPr="00305386">
        <w:rPr>
          <w:bCs/>
        </w:rPr>
        <w:t>Стуса</w:t>
      </w:r>
      <w:proofErr w:type="gramEnd"/>
      <w:r w:rsidRPr="00305386">
        <w:rPr>
          <w:bCs/>
        </w:rPr>
        <w:t xml:space="preserve"> з підключенням с</w:t>
      </w:r>
      <w:r w:rsidR="00EC4FE2">
        <w:rPr>
          <w:bCs/>
        </w:rPr>
        <w:t>поживачів двох мікрорайонів вул</w:t>
      </w:r>
      <w:r w:rsidR="00EC4FE2">
        <w:rPr>
          <w:bCs/>
          <w:lang w:val="uk-UA"/>
        </w:rPr>
        <w:t xml:space="preserve">иць </w:t>
      </w:r>
      <w:r w:rsidRPr="00305386">
        <w:rPr>
          <w:bCs/>
        </w:rPr>
        <w:t>Надвірнянська, Хоткевича</w:t>
      </w:r>
      <w:r w:rsidR="00EC74F9">
        <w:rPr>
          <w:bCs/>
          <w:lang w:val="uk-UA"/>
        </w:rPr>
        <w:t>"</w:t>
      </w:r>
      <w:r w:rsidRPr="00305386">
        <w:rPr>
          <w:bCs/>
        </w:rPr>
        <w:t xml:space="preserve">. </w:t>
      </w:r>
      <w:r w:rsidR="00EC4FE2">
        <w:rPr>
          <w:bCs/>
        </w:rPr>
        <w:t>Проводяться роботи по про</w:t>
      </w:r>
      <w:r w:rsidR="00EC4FE2">
        <w:rPr>
          <w:bCs/>
          <w:lang w:val="uk-UA"/>
        </w:rPr>
        <w:t>є</w:t>
      </w:r>
      <w:r>
        <w:rPr>
          <w:bCs/>
        </w:rPr>
        <w:t xml:space="preserve">кту </w:t>
      </w:r>
      <w:r>
        <w:rPr>
          <w:bCs/>
          <w:lang w:val="uk-UA"/>
        </w:rPr>
        <w:t>"</w:t>
      </w:r>
      <w:r w:rsidRPr="00DD1BEC">
        <w:rPr>
          <w:bCs/>
        </w:rPr>
        <w:t>Реконструкція котельні на вул. Довг</w:t>
      </w:r>
      <w:r w:rsidR="00EC4FE2">
        <w:rPr>
          <w:bCs/>
          <w:lang w:val="uk-UA"/>
        </w:rPr>
        <w:t>ій</w:t>
      </w:r>
      <w:r w:rsidRPr="00DD1BEC">
        <w:rPr>
          <w:bCs/>
        </w:rPr>
        <w:t xml:space="preserve">, 68а з встановленням нового газового котла </w:t>
      </w:r>
      <w:r w:rsidRPr="00305386">
        <w:rPr>
          <w:bCs/>
        </w:rPr>
        <w:t>потужністю 9 МВт</w:t>
      </w:r>
      <w:r>
        <w:rPr>
          <w:bCs/>
          <w:lang w:val="uk-UA"/>
        </w:rPr>
        <w:t>".</w:t>
      </w:r>
    </w:p>
    <w:p w:rsidR="007B5FC8" w:rsidRPr="007B5FC8" w:rsidRDefault="007B5FC8" w:rsidP="007B5FC8">
      <w:pPr>
        <w:tabs>
          <w:tab w:val="left" w:pos="400"/>
        </w:tabs>
        <w:ind w:firstLine="709"/>
        <w:jc w:val="both"/>
        <w:rPr>
          <w:color w:val="000000"/>
          <w:highlight w:val="yellow"/>
          <w:lang w:val="uk-UA"/>
        </w:rPr>
      </w:pPr>
    </w:p>
    <w:p w:rsidR="007B5FC8" w:rsidRPr="003B3820" w:rsidRDefault="007B5FC8" w:rsidP="007B5FC8">
      <w:pPr>
        <w:pStyle w:val="af1"/>
        <w:numPr>
          <w:ilvl w:val="0"/>
          <w:numId w:val="2"/>
        </w:numPr>
        <w:jc w:val="both"/>
        <w:outlineLvl w:val="0"/>
        <w:rPr>
          <w:b/>
          <w:i/>
          <w:sz w:val="28"/>
          <w:szCs w:val="28"/>
          <w:lang w:val="uk-UA"/>
        </w:rPr>
      </w:pPr>
      <w:r w:rsidRPr="003B3820">
        <w:rPr>
          <w:b/>
          <w:i/>
          <w:sz w:val="28"/>
          <w:szCs w:val="28"/>
          <w:lang w:val="uk-UA"/>
        </w:rPr>
        <w:t>Забезпечення умов для соціально-економічного зростання</w:t>
      </w:r>
    </w:p>
    <w:p w:rsidR="00993D0F" w:rsidRDefault="00993D0F" w:rsidP="007B5FC8">
      <w:pPr>
        <w:ind w:firstLine="700"/>
        <w:jc w:val="both"/>
        <w:outlineLvl w:val="0"/>
        <w:rPr>
          <w:i/>
          <w:lang w:val="uk-UA"/>
        </w:rPr>
      </w:pPr>
    </w:p>
    <w:p w:rsidR="007B5FC8" w:rsidRPr="0006253F" w:rsidRDefault="007B5FC8" w:rsidP="007B5FC8">
      <w:pPr>
        <w:ind w:firstLine="700"/>
        <w:jc w:val="both"/>
        <w:outlineLvl w:val="0"/>
        <w:rPr>
          <w:i/>
          <w:lang w:val="uk-UA"/>
        </w:rPr>
      </w:pPr>
      <w:r w:rsidRPr="0006253F">
        <w:rPr>
          <w:i/>
          <w:lang w:val="uk-UA"/>
        </w:rPr>
        <w:t>3.1 Інвестиційна політика,  зовнішньоекономічна діяльність</w:t>
      </w:r>
    </w:p>
    <w:p w:rsidR="007B5FC8" w:rsidRDefault="007B5FC8" w:rsidP="007B5FC8">
      <w:pPr>
        <w:ind w:firstLine="708"/>
        <w:jc w:val="both"/>
        <w:rPr>
          <w:lang w:val="uk-UA"/>
        </w:rPr>
      </w:pPr>
      <w:r w:rsidRPr="0006253F">
        <w:rPr>
          <w:lang w:val="uk-UA"/>
        </w:rPr>
        <w:t xml:space="preserve">Обсяг залучених з початку інвестування прямих інвестицій (акціонерного капіталу) в економіку обласного центру на 1 </w:t>
      </w:r>
      <w:r w:rsidR="0006253F" w:rsidRPr="0006253F">
        <w:rPr>
          <w:lang w:val="uk-UA"/>
        </w:rPr>
        <w:t xml:space="preserve">жовтня </w:t>
      </w:r>
      <w:r w:rsidRPr="0006253F">
        <w:rPr>
          <w:lang w:val="uk-UA"/>
        </w:rPr>
        <w:t>201</w:t>
      </w:r>
      <w:r w:rsidR="0006253F" w:rsidRPr="0006253F">
        <w:rPr>
          <w:lang w:val="uk-UA"/>
        </w:rPr>
        <w:t>9</w:t>
      </w:r>
      <w:r w:rsidRPr="0006253F">
        <w:rPr>
          <w:lang w:val="uk-UA"/>
        </w:rPr>
        <w:t xml:space="preserve">р. cтановить </w:t>
      </w:r>
      <w:r w:rsidR="0006253F" w:rsidRPr="0006253F">
        <w:rPr>
          <w:lang w:val="uk-UA"/>
        </w:rPr>
        <w:t>476,6</w:t>
      </w:r>
      <w:r w:rsidRPr="0006253F">
        <w:rPr>
          <w:lang w:val="uk-UA"/>
        </w:rPr>
        <w:t xml:space="preserve"> млн дол. США.</w:t>
      </w:r>
    </w:p>
    <w:p w:rsidR="00993D0F" w:rsidRPr="0006253F" w:rsidRDefault="001D4831" w:rsidP="007B5FC8">
      <w:pPr>
        <w:ind w:firstLine="708"/>
        <w:jc w:val="both"/>
        <w:rPr>
          <w:lang w:val="uk-UA"/>
        </w:rPr>
      </w:pPr>
      <w:r>
        <w:rPr>
          <w:lang w:val="uk-UA"/>
        </w:rPr>
        <w:t xml:space="preserve">Серед обласних центрів з аналогічною чисельністю населення </w:t>
      </w:r>
      <w:r w:rsidR="007E59AC">
        <w:rPr>
          <w:lang w:val="uk-UA"/>
        </w:rPr>
        <w:t xml:space="preserve">в </w:t>
      </w:r>
      <w:r>
        <w:rPr>
          <w:lang w:val="uk-UA"/>
        </w:rPr>
        <w:t>Івано-Франківськ</w:t>
      </w:r>
      <w:r w:rsidR="007E59AC">
        <w:rPr>
          <w:lang w:val="uk-UA"/>
        </w:rPr>
        <w:t>у обсяг залучених прямих інвестицій найвищий.</w:t>
      </w:r>
      <w:r>
        <w:rPr>
          <w:lang w:val="uk-UA"/>
        </w:rPr>
        <w:t xml:space="preserve"> </w:t>
      </w:r>
    </w:p>
    <w:p w:rsidR="007B5FC8" w:rsidRPr="0006253F" w:rsidRDefault="002B4FD3" w:rsidP="002B4FD3">
      <w:pPr>
        <w:jc w:val="both"/>
        <w:rPr>
          <w:lang w:val="uk-UA"/>
        </w:rPr>
      </w:pPr>
      <w:r>
        <w:rPr>
          <w:noProof/>
          <w:lang w:val="uk-UA" w:eastAsia="uk-UA"/>
        </w:rPr>
        <w:drawing>
          <wp:inline distT="0" distB="0" distL="0" distR="0" wp14:anchorId="77C56A96" wp14:editId="6B96F2E0">
            <wp:extent cx="5947719" cy="2347784"/>
            <wp:effectExtent l="0" t="0" r="15240" b="14605"/>
            <wp:docPr id="1" name="Діагра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9352C3" w:rsidRDefault="009352C3" w:rsidP="007B5FC8">
      <w:pPr>
        <w:ind w:firstLine="708"/>
        <w:jc w:val="both"/>
        <w:rPr>
          <w:lang w:val="uk-UA"/>
        </w:rPr>
      </w:pPr>
    </w:p>
    <w:p w:rsidR="007B5FC8" w:rsidRPr="0006253F" w:rsidRDefault="007B5FC8" w:rsidP="007B5FC8">
      <w:pPr>
        <w:ind w:firstLine="708"/>
        <w:jc w:val="both"/>
        <w:rPr>
          <w:lang w:val="uk-UA"/>
        </w:rPr>
      </w:pPr>
      <w:r w:rsidRPr="0006253F">
        <w:rPr>
          <w:lang w:val="uk-UA"/>
        </w:rPr>
        <w:t xml:space="preserve">У розрахунку на одну особу залучено прямих інвестицій </w:t>
      </w:r>
      <w:r w:rsidR="0006253F" w:rsidRPr="0006253F">
        <w:rPr>
          <w:lang w:val="uk-UA"/>
        </w:rPr>
        <w:t>1859</w:t>
      </w:r>
      <w:r w:rsidRPr="0006253F">
        <w:rPr>
          <w:lang w:val="uk-UA"/>
        </w:rPr>
        <w:t xml:space="preserve"> дол. США </w:t>
      </w:r>
      <w:r w:rsidR="0006253F" w:rsidRPr="0006253F">
        <w:rPr>
          <w:lang w:val="uk-UA"/>
        </w:rPr>
        <w:t>(по області – 625,6</w:t>
      </w:r>
      <w:r w:rsidR="00983DDE">
        <w:rPr>
          <w:lang w:val="uk-UA"/>
        </w:rPr>
        <w:t xml:space="preserve"> </w:t>
      </w:r>
      <w:r w:rsidR="0006253F" w:rsidRPr="0006253F">
        <w:rPr>
          <w:lang w:val="uk-UA"/>
        </w:rPr>
        <w:t>дол.США).</w:t>
      </w:r>
    </w:p>
    <w:p w:rsidR="007B5FC8" w:rsidRPr="007B5FC8" w:rsidRDefault="00993D0F" w:rsidP="00993D0F">
      <w:pPr>
        <w:jc w:val="both"/>
        <w:rPr>
          <w:highlight w:val="yellow"/>
          <w:lang w:val="uk-UA"/>
        </w:rPr>
      </w:pPr>
      <w:r>
        <w:rPr>
          <w:noProof/>
          <w:lang w:val="uk-UA" w:eastAsia="uk-UA"/>
        </w:rPr>
        <w:lastRenderedPageBreak/>
        <w:drawing>
          <wp:inline distT="0" distB="0" distL="0" distR="0" wp14:anchorId="18F07B48" wp14:editId="5CB62F07">
            <wp:extent cx="5924550" cy="2762250"/>
            <wp:effectExtent l="0" t="0" r="19050" b="19050"/>
            <wp:docPr id="5" name="Діагра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7B5FC8" w:rsidRPr="0006253F" w:rsidRDefault="007B5FC8" w:rsidP="007B5FC8">
      <w:pPr>
        <w:ind w:firstLine="708"/>
        <w:jc w:val="both"/>
        <w:rPr>
          <w:lang w:val="uk-UA"/>
        </w:rPr>
      </w:pPr>
      <w:r w:rsidRPr="0006253F">
        <w:rPr>
          <w:lang w:val="uk-UA"/>
        </w:rPr>
        <w:t xml:space="preserve">На </w:t>
      </w:r>
      <w:r w:rsidR="0006253F" w:rsidRPr="0006253F">
        <w:rPr>
          <w:lang w:val="uk-UA"/>
        </w:rPr>
        <w:t xml:space="preserve">1 жовтня </w:t>
      </w:r>
      <w:r w:rsidRPr="0006253F">
        <w:rPr>
          <w:lang w:val="uk-UA"/>
        </w:rPr>
        <w:t>201</w:t>
      </w:r>
      <w:r w:rsidR="0006253F" w:rsidRPr="0006253F">
        <w:rPr>
          <w:lang w:val="uk-UA"/>
        </w:rPr>
        <w:t>9</w:t>
      </w:r>
      <w:r w:rsidRPr="0006253F">
        <w:rPr>
          <w:lang w:val="uk-UA"/>
        </w:rPr>
        <w:t xml:space="preserve">р. з країн ЄС з початку інвестування внесено </w:t>
      </w:r>
      <w:r w:rsidR="0006253F" w:rsidRPr="0006253F">
        <w:rPr>
          <w:lang w:val="uk-UA"/>
        </w:rPr>
        <w:t>458,4</w:t>
      </w:r>
      <w:r w:rsidRPr="0006253F">
        <w:rPr>
          <w:lang w:val="uk-UA"/>
        </w:rPr>
        <w:t xml:space="preserve"> млн дол. США інвестицій  (96,</w:t>
      </w:r>
      <w:r w:rsidR="0006253F" w:rsidRPr="0006253F">
        <w:rPr>
          <w:lang w:val="uk-UA"/>
        </w:rPr>
        <w:t>2</w:t>
      </w:r>
      <w:r w:rsidRPr="0006253F">
        <w:rPr>
          <w:lang w:val="uk-UA"/>
        </w:rPr>
        <w:t>% загального  обсягу акціонерного капіталу), з інших країн світу – 1</w:t>
      </w:r>
      <w:r w:rsidR="0006253F" w:rsidRPr="0006253F">
        <w:rPr>
          <w:lang w:val="uk-UA"/>
        </w:rPr>
        <w:t>8</w:t>
      </w:r>
      <w:r w:rsidRPr="0006253F">
        <w:rPr>
          <w:lang w:val="uk-UA"/>
        </w:rPr>
        <w:t>,2 млн дол.</w:t>
      </w:r>
      <w:r w:rsidRPr="0006253F">
        <w:rPr>
          <w:color w:val="FF0000"/>
          <w:lang w:val="uk-UA"/>
        </w:rPr>
        <w:t xml:space="preserve">  </w:t>
      </w:r>
      <w:r w:rsidRPr="0006253F">
        <w:rPr>
          <w:lang w:val="uk-UA"/>
        </w:rPr>
        <w:t>(</w:t>
      </w:r>
      <w:r w:rsidRPr="0006253F">
        <w:t>3</w:t>
      </w:r>
      <w:r w:rsidRPr="0006253F">
        <w:rPr>
          <w:lang w:val="uk-UA"/>
        </w:rPr>
        <w:t>,5%). Інвесторами виступили 4</w:t>
      </w:r>
      <w:r w:rsidR="0006253F" w:rsidRPr="0006253F">
        <w:rPr>
          <w:lang w:val="uk-UA"/>
        </w:rPr>
        <w:t>4</w:t>
      </w:r>
      <w:r w:rsidRPr="0006253F">
        <w:rPr>
          <w:lang w:val="uk-UA"/>
        </w:rPr>
        <w:t xml:space="preserve"> країни світу.</w:t>
      </w:r>
    </w:p>
    <w:p w:rsidR="007B5FC8" w:rsidRPr="0006253F" w:rsidRDefault="007B5FC8" w:rsidP="007B5FC8">
      <w:pPr>
        <w:tabs>
          <w:tab w:val="left" w:pos="8080"/>
        </w:tabs>
        <w:ind w:firstLine="720"/>
        <w:jc w:val="both"/>
        <w:rPr>
          <w:lang w:val="uk-UA"/>
        </w:rPr>
      </w:pPr>
      <w:r w:rsidRPr="0006253F">
        <w:rPr>
          <w:lang w:val="uk-UA"/>
        </w:rPr>
        <w:t xml:space="preserve">На підприємствах промисловості зосереджено </w:t>
      </w:r>
      <w:r w:rsidR="0006253F" w:rsidRPr="0006253F">
        <w:rPr>
          <w:lang w:val="uk-UA"/>
        </w:rPr>
        <w:t>327,7</w:t>
      </w:r>
      <w:r w:rsidRPr="0006253F">
        <w:rPr>
          <w:lang w:val="uk-UA"/>
        </w:rPr>
        <w:t> млн дол. США прямих  інвестицій (6</w:t>
      </w:r>
      <w:r w:rsidR="0006253F" w:rsidRPr="0006253F">
        <w:rPr>
          <w:lang w:val="uk-UA"/>
        </w:rPr>
        <w:t>8</w:t>
      </w:r>
      <w:r w:rsidRPr="0006253F">
        <w:rPr>
          <w:lang w:val="uk-UA"/>
        </w:rPr>
        <w:t xml:space="preserve">,8% загального  обсягу  акціонерного  капіталу), з  них на підприємствах переробної галузі – </w:t>
      </w:r>
      <w:r w:rsidR="0006253F" w:rsidRPr="0006253F">
        <w:rPr>
          <w:lang w:val="uk-UA"/>
        </w:rPr>
        <w:t>326,7</w:t>
      </w:r>
      <w:r w:rsidRPr="0006253F">
        <w:rPr>
          <w:lang w:val="uk-UA"/>
        </w:rPr>
        <w:t xml:space="preserve">  млн дол. (6</w:t>
      </w:r>
      <w:r w:rsidR="0006253F" w:rsidRPr="0006253F">
        <w:rPr>
          <w:lang w:val="uk-UA"/>
        </w:rPr>
        <w:t>8</w:t>
      </w:r>
      <w:r w:rsidRPr="0006253F">
        <w:rPr>
          <w:lang w:val="uk-UA"/>
        </w:rPr>
        <w:t>,</w:t>
      </w:r>
      <w:r w:rsidR="0006253F" w:rsidRPr="0006253F">
        <w:rPr>
          <w:lang w:val="uk-UA"/>
        </w:rPr>
        <w:t>5</w:t>
      </w:r>
      <w:r w:rsidRPr="0006253F">
        <w:rPr>
          <w:lang w:val="uk-UA"/>
        </w:rPr>
        <w:t xml:space="preserve">%). </w:t>
      </w:r>
    </w:p>
    <w:p w:rsidR="007B5FC8" w:rsidRPr="0006253F" w:rsidRDefault="007B5FC8" w:rsidP="007B5FC8">
      <w:pPr>
        <w:ind w:firstLine="720"/>
        <w:jc w:val="both"/>
        <w:rPr>
          <w:lang w:val="uk-UA"/>
        </w:rPr>
      </w:pPr>
      <w:r w:rsidRPr="0006253F">
        <w:rPr>
          <w:lang w:val="uk-UA"/>
        </w:rPr>
        <w:t>У підприємства оптової та роздрібної торгівлі, ремонту автотранспортних засобів і мотоциклів залучено 106,7 млн дол. США (2</w:t>
      </w:r>
      <w:r w:rsidR="0006253F" w:rsidRPr="0006253F">
        <w:rPr>
          <w:lang w:val="uk-UA"/>
        </w:rPr>
        <w:t>2,4</w:t>
      </w:r>
      <w:r w:rsidRPr="0006253F">
        <w:rPr>
          <w:lang w:val="uk-UA"/>
        </w:rPr>
        <w:t xml:space="preserve">% загального обсягу), </w:t>
      </w:r>
      <w:r w:rsidR="0006253F" w:rsidRPr="0006253F">
        <w:rPr>
          <w:lang w:val="uk-UA"/>
        </w:rPr>
        <w:t xml:space="preserve">в організації, що здійснюють операції з нерухомим майном – 23,1 млн дол. США (4,8%), підприємства </w:t>
      </w:r>
      <w:r w:rsidRPr="0006253F">
        <w:rPr>
          <w:lang w:val="uk-UA"/>
        </w:rPr>
        <w:t xml:space="preserve">будівельної діяльності – </w:t>
      </w:r>
      <w:r w:rsidR="0006253F" w:rsidRPr="0006253F">
        <w:rPr>
          <w:lang w:val="uk-UA"/>
        </w:rPr>
        <w:t>8,3</w:t>
      </w:r>
      <w:r w:rsidRPr="0006253F">
        <w:rPr>
          <w:lang w:val="uk-UA"/>
        </w:rPr>
        <w:t xml:space="preserve"> млн дол. (</w:t>
      </w:r>
      <w:r w:rsidR="0006253F" w:rsidRPr="0006253F">
        <w:rPr>
          <w:lang w:val="uk-UA"/>
        </w:rPr>
        <w:t>1</w:t>
      </w:r>
      <w:r w:rsidRPr="0006253F">
        <w:rPr>
          <w:lang w:val="uk-UA"/>
        </w:rPr>
        <w:t>,</w:t>
      </w:r>
      <w:r w:rsidR="0006253F" w:rsidRPr="0006253F">
        <w:rPr>
          <w:lang w:val="uk-UA"/>
        </w:rPr>
        <w:t>7</w:t>
      </w:r>
      <w:r w:rsidRPr="0006253F">
        <w:rPr>
          <w:lang w:val="uk-UA"/>
        </w:rPr>
        <w:t>%).</w:t>
      </w:r>
    </w:p>
    <w:p w:rsidR="007B5FC8" w:rsidRPr="0006253F" w:rsidRDefault="007B5FC8" w:rsidP="007B5FC8">
      <w:pPr>
        <w:ind w:firstLine="708"/>
        <w:jc w:val="both"/>
        <w:rPr>
          <w:lang w:val="uk-UA"/>
        </w:rPr>
      </w:pPr>
      <w:r w:rsidRPr="0006253F">
        <w:rPr>
          <w:lang w:val="uk-UA"/>
        </w:rPr>
        <w:t xml:space="preserve">За </w:t>
      </w:r>
      <w:r w:rsidR="00B81809">
        <w:rPr>
          <w:lang w:val="uk-UA"/>
        </w:rPr>
        <w:t xml:space="preserve">січень - вересень </w:t>
      </w:r>
      <w:r w:rsidRPr="0006253F">
        <w:rPr>
          <w:lang w:val="uk-UA"/>
        </w:rPr>
        <w:t>201</w:t>
      </w:r>
      <w:r w:rsidR="0006253F">
        <w:rPr>
          <w:lang w:val="uk-UA"/>
        </w:rPr>
        <w:t>9</w:t>
      </w:r>
      <w:r w:rsidRPr="0006253F">
        <w:rPr>
          <w:lang w:val="uk-UA"/>
        </w:rPr>
        <w:t xml:space="preserve"> р</w:t>
      </w:r>
      <w:r w:rsidR="00B81809">
        <w:rPr>
          <w:lang w:val="uk-UA"/>
        </w:rPr>
        <w:t>оку о</w:t>
      </w:r>
      <w:r w:rsidRPr="0006253F">
        <w:rPr>
          <w:lang w:val="uk-UA"/>
        </w:rPr>
        <w:t xml:space="preserve">своєно (використано) </w:t>
      </w:r>
      <w:r w:rsidR="0006253F" w:rsidRPr="0006253F">
        <w:rPr>
          <w:lang w:val="uk-UA"/>
        </w:rPr>
        <w:t>2623</w:t>
      </w:r>
      <w:r w:rsidRPr="0006253F">
        <w:rPr>
          <w:lang w:val="uk-UA"/>
        </w:rPr>
        <w:t xml:space="preserve">,8 млн грн капітальних інвестицій, в тому числі на одну особу – </w:t>
      </w:r>
      <w:r w:rsidR="0006253F" w:rsidRPr="0006253F">
        <w:rPr>
          <w:lang w:val="uk-UA"/>
        </w:rPr>
        <w:t>10,2</w:t>
      </w:r>
      <w:r w:rsidRPr="0006253F">
        <w:rPr>
          <w:lang w:val="uk-UA"/>
        </w:rPr>
        <w:t xml:space="preserve"> тис грн.</w:t>
      </w:r>
    </w:p>
    <w:p w:rsidR="007B5FC8" w:rsidRPr="00993D0F" w:rsidRDefault="007B5FC8" w:rsidP="007B5FC8">
      <w:pPr>
        <w:ind w:firstLine="708"/>
        <w:jc w:val="both"/>
        <w:rPr>
          <w:lang w:val="uk-UA"/>
        </w:rPr>
      </w:pPr>
      <w:r w:rsidRPr="00993D0F">
        <w:rPr>
          <w:lang w:val="uk-UA"/>
        </w:rPr>
        <w:t xml:space="preserve">Підприємства з найбільшими обсягами </w:t>
      </w:r>
      <w:r w:rsidR="00993D0F" w:rsidRPr="00993D0F">
        <w:rPr>
          <w:lang w:val="uk-UA"/>
        </w:rPr>
        <w:t>капітальни</w:t>
      </w:r>
      <w:r w:rsidR="009352C3">
        <w:rPr>
          <w:lang w:val="uk-UA"/>
        </w:rPr>
        <w:t>х</w:t>
      </w:r>
      <w:r w:rsidR="00993D0F" w:rsidRPr="00993D0F">
        <w:rPr>
          <w:lang w:val="uk-UA"/>
        </w:rPr>
        <w:t xml:space="preserve"> </w:t>
      </w:r>
      <w:r w:rsidRPr="00993D0F">
        <w:rPr>
          <w:lang w:val="uk-UA"/>
        </w:rPr>
        <w:t xml:space="preserve">інвестицій: </w:t>
      </w:r>
      <w:r w:rsidR="00993D0F" w:rsidRPr="00993D0F">
        <w:rPr>
          <w:lang w:val="uk-UA"/>
        </w:rPr>
        <w:t xml:space="preserve">ПАТ "Прикарпатттяобленерго", КП "Електроавтотранс", </w:t>
      </w:r>
      <w:r w:rsidRPr="00993D0F">
        <w:rPr>
          <w:lang w:val="uk-UA"/>
        </w:rPr>
        <w:t>ТОВ "</w:t>
      </w:r>
      <w:r w:rsidR="00993D0F" w:rsidRPr="00993D0F">
        <w:rPr>
          <w:lang w:val="uk-UA"/>
        </w:rPr>
        <w:t>Інвестиційно-будівельна компанія "Вертикаль", ТОВ "Європа Транс Агро", ТОВ "Енсоль"</w:t>
      </w:r>
      <w:r w:rsidRPr="00993D0F">
        <w:rPr>
          <w:lang w:val="uk-UA"/>
        </w:rPr>
        <w:t>.</w:t>
      </w:r>
    </w:p>
    <w:p w:rsidR="005E6884" w:rsidRPr="005E6884" w:rsidRDefault="007B5FC8" w:rsidP="005E6884">
      <w:pPr>
        <w:ind w:firstLine="708"/>
        <w:jc w:val="both"/>
        <w:rPr>
          <w:lang w:val="uk-UA"/>
        </w:rPr>
      </w:pPr>
      <w:r w:rsidRPr="0048665C">
        <w:rPr>
          <w:lang w:val="uk-UA"/>
        </w:rPr>
        <w:t xml:space="preserve">Важливим показником для потенційних інвесторів є наявність позитивної кредитної історії міста Івано-Франківська та висновки рейтингового  агентства щодо кредитного рейтингу міста. </w:t>
      </w:r>
      <w:r w:rsidR="005E6884" w:rsidRPr="005E6884">
        <w:rPr>
          <w:lang w:val="uk-UA"/>
        </w:rPr>
        <w:t xml:space="preserve">12 листопада 2019 року Рейтинговим агентством "Кредит-Рейтинг" </w:t>
      </w:r>
      <w:r w:rsidR="005E6884">
        <w:rPr>
          <w:lang w:val="uk-UA"/>
        </w:rPr>
        <w:t>у</w:t>
      </w:r>
      <w:r w:rsidR="005E6884" w:rsidRPr="005E6884">
        <w:rPr>
          <w:lang w:val="uk-UA"/>
        </w:rPr>
        <w:t xml:space="preserve"> процесі оновлення кредитного рейтингу міста Івано-Франківська за результатами аналізу економічних та фінансових показників, даних щодо демографічної ситуації, стану ринку праці, інформації відносно боргових зобов’язань міста, наявної у розпорядженні комунальної власності та перспективних планів на майбутнє, підтверджено рейтинг міста за національною шкалою на рівні uaBBB+ з прогнозом "стабільний".</w:t>
      </w:r>
    </w:p>
    <w:p w:rsidR="005E6884" w:rsidRDefault="00C73147" w:rsidP="007B5FC8">
      <w:pPr>
        <w:ind w:firstLine="708"/>
        <w:jc w:val="both"/>
        <w:rPr>
          <w:rStyle w:val="A40"/>
          <w:rFonts w:cs="Times New Roman"/>
          <w:sz w:val="28"/>
          <w:szCs w:val="28"/>
          <w:lang w:val="uk-UA"/>
        </w:rPr>
      </w:pPr>
      <w:r>
        <w:rPr>
          <w:lang w:val="uk-UA"/>
        </w:rPr>
        <w:t>Також р</w:t>
      </w:r>
      <w:r w:rsidR="005C5F03">
        <w:rPr>
          <w:lang w:val="uk-UA"/>
        </w:rPr>
        <w:t xml:space="preserve">ейтинговим агентством </w:t>
      </w:r>
      <w:r>
        <w:rPr>
          <w:lang w:val="uk-UA"/>
        </w:rPr>
        <w:t xml:space="preserve">підтверджено найвищий рівень </w:t>
      </w:r>
      <w:r w:rsidRPr="005E6884">
        <w:rPr>
          <w:lang w:val="uk-UA"/>
        </w:rPr>
        <w:t>інвестиційної привабливості міста uaINV5</w:t>
      </w:r>
      <w:r>
        <w:rPr>
          <w:lang w:val="uk-UA"/>
        </w:rPr>
        <w:t>.</w:t>
      </w:r>
      <w:r w:rsidR="005E6884" w:rsidRPr="005E6884">
        <w:rPr>
          <w:lang w:val="uk-UA"/>
        </w:rPr>
        <w:t xml:space="preserve"> Тобто привабливість для здійснення інвестицій знаходиться на найвищому рівні порівняно з іншими містами України. Рейтингове агентство визначає рівень інвестиційної привабливості шляхом аналізу складових, що відображають умови, в яких </w:t>
      </w:r>
      <w:r w:rsidR="005E6884" w:rsidRPr="005E6884">
        <w:rPr>
          <w:lang w:val="uk-UA"/>
        </w:rPr>
        <w:lastRenderedPageBreak/>
        <w:t>відбувається діяльність інвесторів, а саме рівень інвестиційного потенціалу та інвестиційного ризику, активність і відкритість місцевої влади до співпраці з інвесторами.</w:t>
      </w:r>
      <w:r w:rsidRPr="00C73147">
        <w:rPr>
          <w:lang w:val="uk-UA"/>
        </w:rPr>
        <w:t xml:space="preserve"> </w:t>
      </w:r>
      <w:r w:rsidRPr="005E6884">
        <w:rPr>
          <w:lang w:val="uk-UA"/>
        </w:rPr>
        <w:t>Спільно з ТОВ "Кредит-Рейтинг" розроблено інвестиційний паспорт міста Івано-Франківська</w:t>
      </w:r>
      <w:r>
        <w:rPr>
          <w:lang w:val="uk-UA"/>
        </w:rPr>
        <w:t>.</w:t>
      </w:r>
    </w:p>
    <w:p w:rsidR="0048665C" w:rsidRDefault="0048665C" w:rsidP="007B5FC8">
      <w:pPr>
        <w:ind w:firstLine="708"/>
        <w:jc w:val="both"/>
        <w:rPr>
          <w:lang w:val="uk-UA"/>
        </w:rPr>
      </w:pPr>
      <w:r w:rsidRPr="0048665C">
        <w:rPr>
          <w:lang w:val="uk-UA"/>
        </w:rPr>
        <w:t>15</w:t>
      </w:r>
      <w:r w:rsidR="007B5FC8" w:rsidRPr="0048665C">
        <w:rPr>
          <w:lang w:val="uk-UA"/>
        </w:rPr>
        <w:t xml:space="preserve"> </w:t>
      </w:r>
      <w:r w:rsidRPr="0048665C">
        <w:rPr>
          <w:lang w:val="uk-UA"/>
        </w:rPr>
        <w:t>листопада</w:t>
      </w:r>
      <w:r w:rsidR="007B5FC8" w:rsidRPr="0048665C">
        <w:rPr>
          <w:lang w:val="uk-UA"/>
        </w:rPr>
        <w:t xml:space="preserve"> 201</w:t>
      </w:r>
      <w:r w:rsidRPr="0048665C">
        <w:rPr>
          <w:lang w:val="uk-UA"/>
        </w:rPr>
        <w:t>9</w:t>
      </w:r>
      <w:r w:rsidR="007B5FC8" w:rsidRPr="0048665C">
        <w:rPr>
          <w:lang w:val="uk-UA"/>
        </w:rPr>
        <w:t xml:space="preserve"> року організовано та проведено V Міжнародний інвестиційно-економічний форум "Партнерство і перспектива</w:t>
      </w:r>
      <w:r w:rsidRPr="0048665C">
        <w:rPr>
          <w:lang w:val="uk-UA"/>
        </w:rPr>
        <w:t>.</w:t>
      </w:r>
      <w:r>
        <w:rPr>
          <w:lang w:val="uk-UA"/>
        </w:rPr>
        <w:t xml:space="preserve"> </w:t>
      </w:r>
      <w:r w:rsidRPr="0048665C">
        <w:t xml:space="preserve"> </w:t>
      </w:r>
      <w:r>
        <w:t>Енергоефективна громад</w:t>
      </w:r>
      <w:r w:rsidRPr="0048665C">
        <w:t>а</w:t>
      </w:r>
      <w:r w:rsidR="007B5FC8" w:rsidRPr="0048665C">
        <w:rPr>
          <w:lang w:val="uk-UA"/>
        </w:rPr>
        <w:t xml:space="preserve">". </w:t>
      </w:r>
      <w:r>
        <w:rPr>
          <w:lang w:val="uk-UA"/>
        </w:rPr>
        <w:t xml:space="preserve"> </w:t>
      </w:r>
      <w:r w:rsidR="009B13F9">
        <w:rPr>
          <w:lang w:val="uk-UA"/>
        </w:rPr>
        <w:t>Ф</w:t>
      </w:r>
      <w:r>
        <w:t>орум було присвячено актуальним питанням енергоефективності у діяльності організацій різних форм власності в Україні. Спікерами на Форумі виступили представники міжнародних організацій, енергосервісних компаній, ОСББ та експерти з партнерських міст Бая-Маре (Румунія) та Єлгава (Латвія). Під час Форуму підписано Меморандум про партнерство між Фондом енергоефективності та виконавчим комітетом Івано-Франківської міської ради.</w:t>
      </w:r>
    </w:p>
    <w:p w:rsidR="0048665C" w:rsidRDefault="009B13F9" w:rsidP="007B5FC8">
      <w:pPr>
        <w:ind w:firstLine="708"/>
        <w:jc w:val="both"/>
        <w:rPr>
          <w:lang w:val="uk-UA"/>
        </w:rPr>
      </w:pPr>
      <w:r>
        <w:rPr>
          <w:lang w:val="uk-UA"/>
        </w:rPr>
        <w:t>У</w:t>
      </w:r>
      <w:r w:rsidR="0048665C">
        <w:t xml:space="preserve"> жовтні 2019 року розпочато реалізацію про</w:t>
      </w:r>
      <w:r>
        <w:rPr>
          <w:lang w:val="uk-UA"/>
        </w:rPr>
        <w:t>є</w:t>
      </w:r>
      <w:r w:rsidR="0048665C">
        <w:t xml:space="preserve">кту </w:t>
      </w:r>
      <w:r>
        <w:t>"</w:t>
      </w:r>
      <w:r w:rsidR="0048665C">
        <w:t>Транскордонна зелена транспортна мережа</w:t>
      </w:r>
      <w:r>
        <w:t>"</w:t>
      </w:r>
      <w:r w:rsidR="0048665C">
        <w:t xml:space="preserve"> в рамках Програми транскордонного співробітництва Угорщина-Словаччина-Румунія-Україна 2014-2020. Загальна сума про</w:t>
      </w:r>
      <w:r>
        <w:rPr>
          <w:lang w:val="uk-UA"/>
        </w:rPr>
        <w:t>є</w:t>
      </w:r>
      <w:r w:rsidR="0048665C">
        <w:t xml:space="preserve">кту складає 280 828,95 євро, з яких сума </w:t>
      </w:r>
      <w:r>
        <w:t>гранту - 252 746, 055 євро. Про</w:t>
      </w:r>
      <w:r>
        <w:rPr>
          <w:lang w:val="uk-UA"/>
        </w:rPr>
        <w:t>є</w:t>
      </w:r>
      <w:r w:rsidR="0048665C">
        <w:t xml:space="preserve">кт об’єднує партнерів з Угорщини, Словаччини та Румунії, а також 7 міст Західної України. </w:t>
      </w:r>
      <w:r w:rsidR="002346CE">
        <w:rPr>
          <w:lang w:val="uk-UA"/>
        </w:rPr>
        <w:t>Результатом</w:t>
      </w:r>
      <w:r w:rsidR="00C50BA7">
        <w:t xml:space="preserve"> реалізації про</w:t>
      </w:r>
      <w:r w:rsidR="00C50BA7">
        <w:rPr>
          <w:lang w:val="uk-UA"/>
        </w:rPr>
        <w:t>є</w:t>
      </w:r>
      <w:r w:rsidR="0048665C">
        <w:t xml:space="preserve">кту стане встановлення 19 електрозаправок (11 з яких на території України, 3 – в </w:t>
      </w:r>
      <w:r w:rsidR="00C50BA7">
        <w:rPr>
          <w:lang w:val="uk-UA"/>
        </w:rPr>
        <w:t>м.</w:t>
      </w:r>
      <w:r w:rsidR="0048665C">
        <w:t>Івано</w:t>
      </w:r>
      <w:r w:rsidR="00C50BA7">
        <w:rPr>
          <w:lang w:val="uk-UA"/>
        </w:rPr>
        <w:t>-</w:t>
      </w:r>
      <w:r w:rsidR="0048665C">
        <w:t>Франківську), за допомогою яких водії електромобілів зможуть безперешкодно подолати відстань в 1200 км між містами. Всі електрозаправки будуть підключені до безкоштовної онлайн мережі електрозаправок.</w:t>
      </w:r>
    </w:p>
    <w:p w:rsidR="00EB32CD" w:rsidRDefault="00EB32CD" w:rsidP="007B5FC8">
      <w:pPr>
        <w:ind w:firstLine="708"/>
        <w:jc w:val="both"/>
        <w:rPr>
          <w:lang w:val="uk-UA"/>
        </w:rPr>
      </w:pPr>
      <w:r>
        <w:t>Реалізація про</w:t>
      </w:r>
      <w:r w:rsidR="00C50BA7">
        <w:rPr>
          <w:lang w:val="uk-UA"/>
        </w:rPr>
        <w:t>є</w:t>
      </w:r>
      <w:r>
        <w:t xml:space="preserve">кту </w:t>
      </w:r>
      <w:r>
        <w:rPr>
          <w:lang w:val="uk-UA"/>
        </w:rPr>
        <w:t>"</w:t>
      </w:r>
      <w:r>
        <w:t>Назад до наших спільних коренів</w:t>
      </w:r>
      <w:r>
        <w:rPr>
          <w:lang w:val="uk-UA"/>
        </w:rPr>
        <w:t>"</w:t>
      </w:r>
      <w:r>
        <w:t xml:space="preserve"> в рамках Програми транскордонного співробітництва Румунія-Україна 2014-2020 розпочнеться </w:t>
      </w:r>
      <w:proofErr w:type="gramStart"/>
      <w:r>
        <w:t>на початку</w:t>
      </w:r>
      <w:proofErr w:type="gramEnd"/>
      <w:r>
        <w:t xml:space="preserve"> 2020 року. Загальна сума про</w:t>
      </w:r>
      <w:r w:rsidR="00C50BA7">
        <w:rPr>
          <w:lang w:val="uk-UA"/>
        </w:rPr>
        <w:t>є</w:t>
      </w:r>
      <w:r>
        <w:t>кту складає 938</w:t>
      </w:r>
      <w:r>
        <w:rPr>
          <w:lang w:val="uk-UA"/>
        </w:rPr>
        <w:t>,5 тис.</w:t>
      </w:r>
      <w:r>
        <w:t xml:space="preserve"> євро, з яких сума для партнерів з м.Івано-Франківська – 356</w:t>
      </w:r>
      <w:r>
        <w:rPr>
          <w:lang w:val="uk-UA"/>
        </w:rPr>
        <w:t>,2 тис.</w:t>
      </w:r>
      <w:r w:rsidR="00C50BA7">
        <w:t xml:space="preserve"> євро. Партнерами про</w:t>
      </w:r>
      <w:r w:rsidR="00C50BA7">
        <w:rPr>
          <w:lang w:val="uk-UA"/>
        </w:rPr>
        <w:t>є</w:t>
      </w:r>
      <w:r>
        <w:t>кту є муніципалітет м.Ботошані, Управління економічного та інтеграційного розвитку Івано-Франківської міської ради, Управління культури м.Ботошані, Центр муніципального та регіонального розвитку - Ресурсний центр. Під час реалізації про</w:t>
      </w:r>
      <w:r w:rsidR="00C50BA7">
        <w:rPr>
          <w:lang w:val="uk-UA"/>
        </w:rPr>
        <w:t>є</w:t>
      </w:r>
      <w:r>
        <w:t>кту будуть проведені роботи з облаштування музею зброї на території Палацу Потоцьких. Музей буде інтерактивним, наповнений спеціально розробленим програмним забезпеченням і сенсорними дошками.</w:t>
      </w:r>
    </w:p>
    <w:p w:rsidR="002346CE" w:rsidRDefault="002346CE" w:rsidP="007B5FC8">
      <w:pPr>
        <w:ind w:firstLine="708"/>
        <w:jc w:val="both"/>
        <w:rPr>
          <w:lang w:val="uk-UA"/>
        </w:rPr>
      </w:pPr>
      <w:r w:rsidRPr="009C5286">
        <w:rPr>
          <w:lang w:val="uk-UA"/>
        </w:rPr>
        <w:t xml:space="preserve">З метою створення сприятливих умов для розвитку ІТ-середовища в місті </w:t>
      </w:r>
      <w:r w:rsidR="00C50BA7">
        <w:rPr>
          <w:lang w:val="uk-UA"/>
        </w:rPr>
        <w:t xml:space="preserve">було надано підтримку </w:t>
      </w:r>
      <w:r w:rsidRPr="009C5286">
        <w:rPr>
          <w:lang w:val="uk-UA"/>
        </w:rPr>
        <w:t xml:space="preserve">ряду заходів, а саме: </w:t>
      </w:r>
    </w:p>
    <w:p w:rsidR="002346CE" w:rsidRDefault="002346CE" w:rsidP="007B5FC8">
      <w:pPr>
        <w:ind w:firstLine="708"/>
        <w:jc w:val="both"/>
        <w:rPr>
          <w:lang w:val="uk-UA"/>
        </w:rPr>
      </w:pPr>
      <w:r>
        <w:rPr>
          <w:lang w:val="uk-UA"/>
        </w:rPr>
        <w:t>-</w:t>
      </w:r>
      <w:r w:rsidRPr="009C5286">
        <w:rPr>
          <w:lang w:val="uk-UA"/>
        </w:rPr>
        <w:t xml:space="preserve"> з метою збільшення кількості спеціалістів та працівників напрямку дизайн проведено роботу щодо співорганізації найбільших дизайн конференцій у Західній Україні </w:t>
      </w:r>
      <w:r>
        <w:t>Design</w:t>
      </w:r>
      <w:r w:rsidRPr="009C5286">
        <w:rPr>
          <w:lang w:val="uk-UA"/>
        </w:rPr>
        <w:t xml:space="preserve"> </w:t>
      </w:r>
      <w:r>
        <w:t>Village</w:t>
      </w:r>
      <w:r w:rsidRPr="009C5286">
        <w:rPr>
          <w:lang w:val="uk-UA"/>
        </w:rPr>
        <w:t xml:space="preserve">. </w:t>
      </w:r>
      <w:r>
        <w:t xml:space="preserve">Лекції та воркшопи були дотичні тем UI/UX, дизайн-мислення, шрифтового дизайну, реклами, графіті та вуличного мистецтва; </w:t>
      </w:r>
    </w:p>
    <w:p w:rsidR="002346CE" w:rsidRDefault="002346CE" w:rsidP="007B5FC8">
      <w:pPr>
        <w:ind w:firstLine="708"/>
        <w:jc w:val="both"/>
        <w:rPr>
          <w:lang w:val="uk-UA"/>
        </w:rPr>
      </w:pPr>
      <w:r>
        <w:rPr>
          <w:lang w:val="uk-UA"/>
        </w:rPr>
        <w:t>-</w:t>
      </w:r>
      <w:r w:rsidRPr="009C5286">
        <w:rPr>
          <w:lang w:val="uk-UA"/>
        </w:rPr>
        <w:t xml:space="preserve"> взято участь в організації та проведені Конференцій </w:t>
      </w:r>
      <w:r>
        <w:t>IT</w:t>
      </w:r>
      <w:r w:rsidRPr="009C5286">
        <w:rPr>
          <w:lang w:val="uk-UA"/>
        </w:rPr>
        <w:t xml:space="preserve"> </w:t>
      </w:r>
      <w:r>
        <w:t>Rally</w:t>
      </w:r>
      <w:r w:rsidRPr="009C5286">
        <w:rPr>
          <w:lang w:val="uk-UA"/>
        </w:rPr>
        <w:t xml:space="preserve"> </w:t>
      </w:r>
      <w:r>
        <w:t>Starters</w:t>
      </w:r>
      <w:r w:rsidRPr="009C5286">
        <w:rPr>
          <w:lang w:val="uk-UA"/>
        </w:rPr>
        <w:t xml:space="preserve">, </w:t>
      </w:r>
      <w:r>
        <w:t>IT</w:t>
      </w:r>
      <w:r w:rsidRPr="009C5286">
        <w:rPr>
          <w:lang w:val="uk-UA"/>
        </w:rPr>
        <w:t xml:space="preserve"> </w:t>
      </w:r>
      <w:r>
        <w:t>Rally</w:t>
      </w:r>
      <w:r w:rsidRPr="009C5286">
        <w:rPr>
          <w:lang w:val="uk-UA"/>
        </w:rPr>
        <w:t xml:space="preserve"> та змаганнях трекових роботів </w:t>
      </w:r>
      <w:r>
        <w:t>RoboSprint</w:t>
      </w:r>
      <w:r w:rsidRPr="009C5286">
        <w:rPr>
          <w:lang w:val="uk-UA"/>
        </w:rPr>
        <w:t xml:space="preserve"> 2019. Основними завданнями заходів є популяризація інформаційних технологій, робототехніки та організація багатостороннього діалогу між студентами та початківцями ІТ-</w:t>
      </w:r>
      <w:r w:rsidRPr="009C5286">
        <w:rPr>
          <w:lang w:val="uk-UA"/>
        </w:rPr>
        <w:lastRenderedPageBreak/>
        <w:t>галузі, які прагнуть розвиватись та знайти роботу</w:t>
      </w:r>
      <w:r w:rsidR="00EB32CD">
        <w:rPr>
          <w:lang w:val="uk-UA"/>
        </w:rPr>
        <w:t>,</w:t>
      </w:r>
      <w:r w:rsidRPr="009C5286">
        <w:rPr>
          <w:lang w:val="uk-UA"/>
        </w:rPr>
        <w:t xml:space="preserve"> ІТ-компаніями, які шукають нових працівників</w:t>
      </w:r>
      <w:r w:rsidR="00EB32CD">
        <w:rPr>
          <w:lang w:val="uk-UA"/>
        </w:rPr>
        <w:t xml:space="preserve"> та</w:t>
      </w:r>
      <w:r w:rsidRPr="009C5286">
        <w:rPr>
          <w:lang w:val="uk-UA"/>
        </w:rPr>
        <w:t xml:space="preserve"> ІТ</w:t>
      </w:r>
      <w:r w:rsidR="00EB32CD">
        <w:rPr>
          <w:lang w:val="uk-UA"/>
        </w:rPr>
        <w:t>-</w:t>
      </w:r>
      <w:r w:rsidRPr="009C5286">
        <w:rPr>
          <w:lang w:val="uk-UA"/>
        </w:rPr>
        <w:t xml:space="preserve">спільнотами міста; </w:t>
      </w:r>
    </w:p>
    <w:p w:rsidR="00EB32CD" w:rsidRDefault="002346CE" w:rsidP="007B5FC8">
      <w:pPr>
        <w:ind w:firstLine="708"/>
        <w:jc w:val="both"/>
        <w:rPr>
          <w:lang w:val="uk-UA"/>
        </w:rPr>
      </w:pPr>
      <w:r>
        <w:rPr>
          <w:lang w:val="uk-UA"/>
        </w:rPr>
        <w:t>-</w:t>
      </w:r>
      <w:r>
        <w:t xml:space="preserve"> з метою створення середовища для розвитку креативної економіки, організовано та про</w:t>
      </w:r>
      <w:r w:rsidR="00EB32CD">
        <w:t xml:space="preserve">ведено курси навчань для дітей </w:t>
      </w:r>
      <w:r w:rsidR="00EB32CD">
        <w:rPr>
          <w:lang w:val="uk-UA"/>
        </w:rPr>
        <w:t>"</w:t>
      </w:r>
      <w:r>
        <w:t>Школа підприємництва</w:t>
      </w:r>
      <w:r w:rsidR="00EB32CD">
        <w:rPr>
          <w:lang w:val="uk-UA"/>
        </w:rPr>
        <w:t>"</w:t>
      </w:r>
      <w:r>
        <w:t xml:space="preserve"> </w:t>
      </w:r>
      <w:r w:rsidR="00EB32CD">
        <w:t xml:space="preserve">та </w:t>
      </w:r>
      <w:r w:rsidR="00EB32CD">
        <w:rPr>
          <w:lang w:val="uk-UA"/>
        </w:rPr>
        <w:t>"</w:t>
      </w:r>
      <w:r>
        <w:t>Літня відеошкола</w:t>
      </w:r>
      <w:r w:rsidR="00EB32CD">
        <w:rPr>
          <w:lang w:val="uk-UA"/>
        </w:rPr>
        <w:t>"</w:t>
      </w:r>
      <w:r>
        <w:t xml:space="preserve">. Курси навчань тривалістю в один місяць для дітей віком 10-13 років, були націлені на розвиток у дітей підприємницького мислення та отримання прикладних знань для створення власних бізнес-проектів; </w:t>
      </w:r>
    </w:p>
    <w:p w:rsidR="00EB32CD" w:rsidRDefault="00EB32CD" w:rsidP="00EB32CD">
      <w:pPr>
        <w:ind w:firstLine="708"/>
        <w:jc w:val="both"/>
        <w:rPr>
          <w:lang w:val="uk-UA"/>
        </w:rPr>
      </w:pPr>
      <w:r>
        <w:rPr>
          <w:lang w:val="uk-UA"/>
        </w:rPr>
        <w:t>-</w:t>
      </w:r>
      <w:r w:rsidR="002346CE" w:rsidRPr="009C5286">
        <w:rPr>
          <w:lang w:val="uk-UA"/>
        </w:rPr>
        <w:t xml:space="preserve"> організовано та проведено спеціалізований курс </w:t>
      </w:r>
      <w:r>
        <w:rPr>
          <w:lang w:val="uk-UA"/>
        </w:rPr>
        <w:t>"</w:t>
      </w:r>
      <w:r w:rsidR="002346CE" w:rsidRPr="009C5286">
        <w:rPr>
          <w:lang w:val="uk-UA"/>
        </w:rPr>
        <w:t>ІТ-навчання для дітей та підлітків</w:t>
      </w:r>
      <w:r>
        <w:rPr>
          <w:lang w:val="uk-UA"/>
        </w:rPr>
        <w:t>"</w:t>
      </w:r>
      <w:r w:rsidR="002346CE" w:rsidRPr="009C5286">
        <w:rPr>
          <w:lang w:val="uk-UA"/>
        </w:rPr>
        <w:t>, сфокусований на вивченні базових навичок програмування у поєднанні з розмовною практикою англійської мови.</w:t>
      </w:r>
    </w:p>
    <w:p w:rsidR="007B5FC8" w:rsidRPr="0006253F" w:rsidRDefault="007B5FC8" w:rsidP="00EB32CD">
      <w:pPr>
        <w:ind w:firstLine="708"/>
        <w:jc w:val="both"/>
        <w:rPr>
          <w:lang w:val="uk-UA"/>
        </w:rPr>
      </w:pPr>
      <w:r w:rsidRPr="0006253F">
        <w:rPr>
          <w:lang w:val="uk-UA"/>
        </w:rPr>
        <w:t xml:space="preserve">Важливим фактором відносної стійкості економіки обласного центру до коливань в економіці країни є орієнтація івано-франківських підприємств-експортерів переважно на ринки країн Європи. Обсяг експорту товарів до країн ЄС </w:t>
      </w:r>
      <w:r w:rsidR="0006253F" w:rsidRPr="0006253F">
        <w:rPr>
          <w:lang w:val="uk-UA"/>
        </w:rPr>
        <w:t xml:space="preserve">у січні-листопаді 2019 року </w:t>
      </w:r>
      <w:r w:rsidRPr="0006253F">
        <w:rPr>
          <w:lang w:val="uk-UA"/>
        </w:rPr>
        <w:t xml:space="preserve">становив </w:t>
      </w:r>
      <w:r w:rsidR="0006253F" w:rsidRPr="0006253F">
        <w:rPr>
          <w:lang w:val="uk-UA"/>
        </w:rPr>
        <w:t>160</w:t>
      </w:r>
      <w:r w:rsidRPr="0006253F">
        <w:rPr>
          <w:lang w:val="uk-UA"/>
        </w:rPr>
        <w:t xml:space="preserve"> млн дол. </w:t>
      </w:r>
      <w:r w:rsidR="00C50BA7">
        <w:rPr>
          <w:lang w:val="uk-UA"/>
        </w:rPr>
        <w:t xml:space="preserve">США </w:t>
      </w:r>
      <w:r w:rsidRPr="0006253F">
        <w:rPr>
          <w:lang w:val="uk-UA"/>
        </w:rPr>
        <w:t xml:space="preserve">або </w:t>
      </w:r>
      <w:r w:rsidR="0006253F" w:rsidRPr="0006253F">
        <w:rPr>
          <w:lang w:val="uk-UA"/>
        </w:rPr>
        <w:t>62,5</w:t>
      </w:r>
      <w:r w:rsidRPr="0006253F">
        <w:rPr>
          <w:lang w:val="uk-UA"/>
        </w:rPr>
        <w:t>% від загального обсягу експорту.</w:t>
      </w:r>
    </w:p>
    <w:p w:rsidR="007B5FC8" w:rsidRDefault="007B5FC8" w:rsidP="007B5FC8">
      <w:pPr>
        <w:ind w:firstLine="709"/>
        <w:jc w:val="both"/>
        <w:rPr>
          <w:highlight w:val="yellow"/>
          <w:lang w:val="uk-UA"/>
        </w:rPr>
      </w:pPr>
      <w:r w:rsidRPr="0006253F">
        <w:rPr>
          <w:lang w:val="uk-UA"/>
        </w:rPr>
        <w:t xml:space="preserve">Обсяги експорту товарів у </w:t>
      </w:r>
      <w:r w:rsidR="0006253F" w:rsidRPr="0006253F">
        <w:rPr>
          <w:lang w:val="uk-UA"/>
        </w:rPr>
        <w:t xml:space="preserve">січні-листопаді </w:t>
      </w:r>
      <w:r w:rsidRPr="0006253F">
        <w:rPr>
          <w:lang w:val="uk-UA"/>
        </w:rPr>
        <w:t>201</w:t>
      </w:r>
      <w:r w:rsidR="0006253F" w:rsidRPr="0006253F">
        <w:rPr>
          <w:lang w:val="uk-UA"/>
        </w:rPr>
        <w:t>9</w:t>
      </w:r>
      <w:r w:rsidRPr="0006253F">
        <w:rPr>
          <w:lang w:val="uk-UA"/>
        </w:rPr>
        <w:t xml:space="preserve"> ро</w:t>
      </w:r>
      <w:r w:rsidR="0006253F">
        <w:rPr>
          <w:lang w:val="uk-UA"/>
        </w:rPr>
        <w:t>ку</w:t>
      </w:r>
      <w:r w:rsidRPr="0006253F">
        <w:rPr>
          <w:lang w:val="uk-UA"/>
        </w:rPr>
        <w:t xml:space="preserve"> склали </w:t>
      </w:r>
      <w:r w:rsidR="0006253F" w:rsidRPr="0006253F">
        <w:rPr>
          <w:lang w:val="uk-UA"/>
        </w:rPr>
        <w:t>255,7</w:t>
      </w:r>
      <w:r w:rsidRPr="0006253F">
        <w:rPr>
          <w:lang w:val="uk-UA"/>
        </w:rPr>
        <w:t xml:space="preserve"> млн дол.США, що становить </w:t>
      </w:r>
      <w:r w:rsidR="0006253F" w:rsidRPr="0006253F">
        <w:rPr>
          <w:lang w:val="uk-UA"/>
        </w:rPr>
        <w:t>123</w:t>
      </w:r>
      <w:r w:rsidRPr="0006253F">
        <w:rPr>
          <w:lang w:val="uk-UA"/>
        </w:rPr>
        <w:t xml:space="preserve">% до минулого року. </w:t>
      </w:r>
      <w:r w:rsidR="00C50BA7">
        <w:rPr>
          <w:lang w:val="uk-UA"/>
        </w:rPr>
        <w:t>У</w:t>
      </w:r>
      <w:r w:rsidRPr="0006253F">
        <w:rPr>
          <w:lang w:val="uk-UA"/>
        </w:rPr>
        <w:t xml:space="preserve"> загальнообласних обсягах експорту товарів питома вага суб’єктів зовнішньоекономічної діяльності міста склала </w:t>
      </w:r>
      <w:r w:rsidR="0006253F" w:rsidRPr="0006253F">
        <w:rPr>
          <w:lang w:val="uk-UA"/>
        </w:rPr>
        <w:t>30,4</w:t>
      </w:r>
      <w:r w:rsidRPr="0006253F">
        <w:rPr>
          <w:lang w:val="uk-UA"/>
        </w:rPr>
        <w:t>%. Партнерами у зовнішній торгівлі товарами були нерезиденти з 9</w:t>
      </w:r>
      <w:r w:rsidR="0006253F" w:rsidRPr="0006253F">
        <w:rPr>
          <w:lang w:val="uk-UA"/>
        </w:rPr>
        <w:t>7</w:t>
      </w:r>
      <w:r w:rsidRPr="0006253F">
        <w:rPr>
          <w:lang w:val="uk-UA"/>
        </w:rPr>
        <w:t xml:space="preserve"> країни світу</w:t>
      </w:r>
      <w:r w:rsidR="004765E6" w:rsidRPr="004765E6">
        <w:rPr>
          <w:lang w:val="uk-UA"/>
        </w:rPr>
        <w:t>.</w:t>
      </w:r>
    </w:p>
    <w:p w:rsidR="004765E6" w:rsidRDefault="004765E6" w:rsidP="004765E6">
      <w:pPr>
        <w:jc w:val="both"/>
        <w:rPr>
          <w:highlight w:val="yellow"/>
          <w:lang w:val="uk-UA"/>
        </w:rPr>
      </w:pPr>
      <w:r>
        <w:rPr>
          <w:noProof/>
          <w:lang w:val="uk-UA" w:eastAsia="uk-UA"/>
        </w:rPr>
        <w:drawing>
          <wp:inline distT="0" distB="0" distL="0" distR="0" wp14:anchorId="208E7605" wp14:editId="1452515F">
            <wp:extent cx="6010275" cy="2962275"/>
            <wp:effectExtent l="0" t="0" r="9525" b="9525"/>
            <wp:docPr id="6" name="Діагра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7B5FC8" w:rsidRPr="0006253F" w:rsidRDefault="007B5FC8" w:rsidP="007B5FC8">
      <w:pPr>
        <w:ind w:firstLine="709"/>
        <w:jc w:val="both"/>
        <w:rPr>
          <w:lang w:val="uk-UA"/>
        </w:rPr>
      </w:pPr>
      <w:r w:rsidRPr="0006253F">
        <w:rPr>
          <w:lang w:val="uk-UA"/>
        </w:rPr>
        <w:t xml:space="preserve">Обсяги імпорту товарів у </w:t>
      </w:r>
      <w:r w:rsidR="0006253F" w:rsidRPr="0006253F">
        <w:rPr>
          <w:lang w:val="uk-UA"/>
        </w:rPr>
        <w:t xml:space="preserve">січні-листопаді </w:t>
      </w:r>
      <w:r w:rsidRPr="0006253F">
        <w:rPr>
          <w:lang w:val="uk-UA"/>
        </w:rPr>
        <w:t>201</w:t>
      </w:r>
      <w:r w:rsidR="0006253F" w:rsidRPr="0006253F">
        <w:rPr>
          <w:lang w:val="uk-UA"/>
        </w:rPr>
        <w:t>9</w:t>
      </w:r>
      <w:r w:rsidRPr="0006253F">
        <w:rPr>
          <w:lang w:val="uk-UA"/>
        </w:rPr>
        <w:t xml:space="preserve"> ро</w:t>
      </w:r>
      <w:r w:rsidR="0006253F" w:rsidRPr="0006253F">
        <w:rPr>
          <w:lang w:val="uk-UA"/>
        </w:rPr>
        <w:t>ку</w:t>
      </w:r>
      <w:r w:rsidRPr="0006253F">
        <w:rPr>
          <w:lang w:val="uk-UA"/>
        </w:rPr>
        <w:t xml:space="preserve"> склали </w:t>
      </w:r>
      <w:r w:rsidR="0006253F" w:rsidRPr="0006253F">
        <w:rPr>
          <w:lang w:val="uk-UA"/>
        </w:rPr>
        <w:t>237,5</w:t>
      </w:r>
      <w:r w:rsidRPr="0006253F">
        <w:rPr>
          <w:lang w:val="uk-UA"/>
        </w:rPr>
        <w:t xml:space="preserve"> млн дол.США і порівняно з минул</w:t>
      </w:r>
      <w:r w:rsidR="00C50BA7">
        <w:rPr>
          <w:lang w:val="uk-UA"/>
        </w:rPr>
        <w:t>им</w:t>
      </w:r>
      <w:r w:rsidRPr="0006253F">
        <w:rPr>
          <w:lang w:val="uk-UA"/>
        </w:rPr>
        <w:t xml:space="preserve"> рок</w:t>
      </w:r>
      <w:r w:rsidR="00C50BA7">
        <w:rPr>
          <w:lang w:val="uk-UA"/>
        </w:rPr>
        <w:t>ом</w:t>
      </w:r>
      <w:r w:rsidRPr="0006253F">
        <w:rPr>
          <w:lang w:val="uk-UA"/>
        </w:rPr>
        <w:t xml:space="preserve"> збільшилися на 5</w:t>
      </w:r>
      <w:r w:rsidR="0006253F" w:rsidRPr="0006253F">
        <w:rPr>
          <w:lang w:val="uk-UA"/>
        </w:rPr>
        <w:t>,9</w:t>
      </w:r>
      <w:r w:rsidRPr="0006253F">
        <w:rPr>
          <w:lang w:val="uk-UA"/>
        </w:rPr>
        <w:t>%.</w:t>
      </w:r>
    </w:p>
    <w:p w:rsidR="007B5FC8" w:rsidRPr="0048665C" w:rsidRDefault="007B5FC8" w:rsidP="007B5FC8">
      <w:pPr>
        <w:ind w:firstLine="708"/>
        <w:jc w:val="both"/>
        <w:rPr>
          <w:lang w:val="uk-UA"/>
        </w:rPr>
      </w:pPr>
      <w:r w:rsidRPr="0048665C">
        <w:rPr>
          <w:lang w:val="uk-UA"/>
        </w:rPr>
        <w:t xml:space="preserve">Імпорт товарів з країн ЄС становив </w:t>
      </w:r>
      <w:r w:rsidR="0006253F" w:rsidRPr="0048665C">
        <w:rPr>
          <w:lang w:val="uk-UA"/>
        </w:rPr>
        <w:t>156,4</w:t>
      </w:r>
      <w:r w:rsidRPr="0048665C">
        <w:rPr>
          <w:lang w:val="uk-UA"/>
        </w:rPr>
        <w:t xml:space="preserve"> млн дол., або </w:t>
      </w:r>
      <w:r w:rsidR="0006253F" w:rsidRPr="0048665C">
        <w:rPr>
          <w:lang w:val="uk-UA"/>
        </w:rPr>
        <w:t>65,8</w:t>
      </w:r>
      <w:r w:rsidRPr="0048665C">
        <w:rPr>
          <w:lang w:val="uk-UA"/>
        </w:rPr>
        <w:t xml:space="preserve">% від загального обсягу імпорту по місту. </w:t>
      </w:r>
      <w:r w:rsidR="0048665C" w:rsidRPr="0048665C">
        <w:rPr>
          <w:lang w:val="uk-UA"/>
        </w:rPr>
        <w:t>Майже половину (45,9%)</w:t>
      </w:r>
      <w:r w:rsidRPr="0048665C">
        <w:rPr>
          <w:lang w:val="uk-UA"/>
        </w:rPr>
        <w:t xml:space="preserve"> обсягу імпорту товарів займали механічні та електричні машини. Суттєвими були і надходження полімерних матеріалів, пластмас та виробів з них (</w:t>
      </w:r>
      <w:r w:rsidR="0048665C" w:rsidRPr="0048665C">
        <w:rPr>
          <w:lang w:val="uk-UA"/>
        </w:rPr>
        <w:t>11,7</w:t>
      </w:r>
      <w:r w:rsidRPr="0048665C">
        <w:rPr>
          <w:lang w:val="uk-UA"/>
        </w:rPr>
        <w:t>%), недорогоцінних металів та виробів з них (10,</w:t>
      </w:r>
      <w:r w:rsidR="0048665C" w:rsidRPr="0048665C">
        <w:rPr>
          <w:lang w:val="uk-UA"/>
        </w:rPr>
        <w:t>3</w:t>
      </w:r>
      <w:r w:rsidRPr="0048665C">
        <w:rPr>
          <w:lang w:val="uk-UA"/>
        </w:rPr>
        <w:t xml:space="preserve">%), </w:t>
      </w:r>
      <w:r w:rsidR="0048665C" w:rsidRPr="0048665C">
        <w:rPr>
          <w:lang w:val="uk-UA"/>
        </w:rPr>
        <w:t xml:space="preserve">засобів наземного транспорту, лічильних апаратів, плавучих засобів (8,9%), </w:t>
      </w:r>
      <w:r w:rsidRPr="0048665C">
        <w:rPr>
          <w:lang w:val="uk-UA"/>
        </w:rPr>
        <w:t>текстильних матеріалів та текстильних виробів (5,5%), продукції хімічної та пов’язаних з нею галузей промисловості (</w:t>
      </w:r>
      <w:r w:rsidR="0048665C" w:rsidRPr="0048665C">
        <w:rPr>
          <w:lang w:val="uk-UA"/>
        </w:rPr>
        <w:t>4,8%</w:t>
      </w:r>
      <w:r w:rsidRPr="0048665C">
        <w:rPr>
          <w:lang w:val="uk-UA"/>
        </w:rPr>
        <w:t xml:space="preserve">). </w:t>
      </w:r>
    </w:p>
    <w:p w:rsidR="007B5FC8" w:rsidRPr="007B5FC8" w:rsidRDefault="007B5FC8" w:rsidP="007B5FC8">
      <w:pPr>
        <w:ind w:firstLine="709"/>
        <w:jc w:val="both"/>
        <w:rPr>
          <w:highlight w:val="yellow"/>
          <w:lang w:val="uk-UA"/>
        </w:rPr>
      </w:pPr>
    </w:p>
    <w:p w:rsidR="007B5FC8" w:rsidRPr="0048665C" w:rsidRDefault="007B5FC8" w:rsidP="007B5FC8">
      <w:pPr>
        <w:pStyle w:val="a3"/>
        <w:numPr>
          <w:ilvl w:val="1"/>
          <w:numId w:val="2"/>
        </w:numPr>
        <w:tabs>
          <w:tab w:val="left" w:pos="0"/>
          <w:tab w:val="left" w:pos="7230"/>
          <w:tab w:val="left" w:pos="7797"/>
          <w:tab w:val="left" w:pos="7938"/>
          <w:tab w:val="left" w:pos="8364"/>
        </w:tabs>
        <w:outlineLvl w:val="0"/>
        <w:rPr>
          <w:i/>
          <w:sz w:val="28"/>
          <w:szCs w:val="28"/>
          <w:lang w:val="uk-UA"/>
        </w:rPr>
      </w:pPr>
      <w:r w:rsidRPr="0048665C">
        <w:rPr>
          <w:i/>
          <w:sz w:val="28"/>
          <w:szCs w:val="28"/>
          <w:lang w:val="uk-UA"/>
        </w:rPr>
        <w:t>Споживчий ринок</w:t>
      </w:r>
    </w:p>
    <w:p w:rsidR="0019413C" w:rsidRPr="009C5286" w:rsidRDefault="0019413C" w:rsidP="0019413C">
      <w:pPr>
        <w:ind w:firstLine="708"/>
        <w:jc w:val="both"/>
        <w:rPr>
          <w:lang w:val="uk-UA"/>
        </w:rPr>
      </w:pPr>
      <w:r w:rsidRPr="009C5286">
        <w:rPr>
          <w:lang w:val="uk-UA"/>
        </w:rPr>
        <w:t>В Івано-Франківську створені всі умови для формування і забезпечення ефективного функціонування мережі торгівлі, ресторанного господарства та підприємств побутового обслуговування, вдосконалення відносин між суб’єктами підприємницької діяльності та споживачами.</w:t>
      </w:r>
    </w:p>
    <w:p w:rsidR="0019413C" w:rsidRPr="00422E41" w:rsidRDefault="0019413C" w:rsidP="0019413C">
      <w:pPr>
        <w:ind w:firstLine="708"/>
        <w:jc w:val="both"/>
      </w:pPr>
      <w:r w:rsidRPr="00422E41">
        <w:t>Торгівлю товарами народного споживання здійсню</w:t>
      </w:r>
      <w:r>
        <w:t>ють</w:t>
      </w:r>
      <w:r w:rsidRPr="00422E41">
        <w:t xml:space="preserve"> 1647 закладів торгівлі загальною площею 165,8 тис.м</w:t>
      </w:r>
      <w:r w:rsidRPr="00422E41">
        <w:rPr>
          <w:vertAlign w:val="superscript"/>
        </w:rPr>
        <w:t>2</w:t>
      </w:r>
      <w:r w:rsidRPr="00422E41">
        <w:t xml:space="preserve"> та 699 підприємств рестор</w:t>
      </w:r>
      <w:r>
        <w:t xml:space="preserve">анного господарства на 38,6 тисяч </w:t>
      </w:r>
      <w:r w:rsidRPr="00422E41">
        <w:t>посадкових місць. Побутове обслуговування населення здійснюється через 391 підприємство побуту. На території міста знаходяться:</w:t>
      </w:r>
    </w:p>
    <w:p w:rsidR="0019413C" w:rsidRPr="00422E41" w:rsidRDefault="0019413C" w:rsidP="0019413C">
      <w:pPr>
        <w:numPr>
          <w:ilvl w:val="0"/>
          <w:numId w:val="33"/>
        </w:numPr>
        <w:contextualSpacing/>
        <w:jc w:val="both"/>
      </w:pPr>
      <w:r w:rsidRPr="00422E41">
        <w:t>торгові центри та супермаркети – 69;</w:t>
      </w:r>
    </w:p>
    <w:p w:rsidR="0019413C" w:rsidRPr="00422E41" w:rsidRDefault="0019413C" w:rsidP="0019413C">
      <w:pPr>
        <w:numPr>
          <w:ilvl w:val="0"/>
          <w:numId w:val="33"/>
        </w:numPr>
        <w:contextualSpacing/>
        <w:jc w:val="both"/>
      </w:pPr>
      <w:r w:rsidRPr="00422E41">
        <w:t>продовольчі магазини – 893;</w:t>
      </w:r>
    </w:p>
    <w:p w:rsidR="0019413C" w:rsidRPr="00422E41" w:rsidRDefault="0019413C" w:rsidP="0019413C">
      <w:pPr>
        <w:numPr>
          <w:ilvl w:val="0"/>
          <w:numId w:val="33"/>
        </w:numPr>
        <w:contextualSpacing/>
        <w:jc w:val="both"/>
      </w:pPr>
      <w:r w:rsidRPr="00422E41">
        <w:t>промислові магазини – 657;</w:t>
      </w:r>
    </w:p>
    <w:p w:rsidR="0019413C" w:rsidRPr="00422E41" w:rsidRDefault="0019413C" w:rsidP="0019413C">
      <w:pPr>
        <w:numPr>
          <w:ilvl w:val="0"/>
          <w:numId w:val="33"/>
        </w:numPr>
        <w:contextualSpacing/>
        <w:jc w:val="both"/>
      </w:pPr>
      <w:r w:rsidRPr="00422E41">
        <w:t>книгарні- 24;</w:t>
      </w:r>
    </w:p>
    <w:p w:rsidR="0019413C" w:rsidRPr="00422E41" w:rsidRDefault="0019413C" w:rsidP="0019413C">
      <w:pPr>
        <w:numPr>
          <w:ilvl w:val="0"/>
          <w:numId w:val="33"/>
        </w:numPr>
        <w:contextualSpacing/>
        <w:jc w:val="both"/>
      </w:pPr>
      <w:r w:rsidRPr="00422E41">
        <w:t>ресторани- 63;</w:t>
      </w:r>
    </w:p>
    <w:p w:rsidR="0019413C" w:rsidRPr="00422E41" w:rsidRDefault="0019413C" w:rsidP="0019413C">
      <w:pPr>
        <w:numPr>
          <w:ilvl w:val="0"/>
          <w:numId w:val="33"/>
        </w:numPr>
        <w:contextualSpacing/>
        <w:jc w:val="both"/>
      </w:pPr>
      <w:r w:rsidRPr="00422E41">
        <w:t>кафе, кав’ярні, паби – 636.</w:t>
      </w:r>
    </w:p>
    <w:p w:rsidR="0019413C" w:rsidRDefault="0019413C" w:rsidP="0019413C">
      <w:pPr>
        <w:contextualSpacing/>
        <w:jc w:val="both"/>
        <w:rPr>
          <w:lang w:val="uk-UA"/>
        </w:rPr>
      </w:pPr>
      <w:r w:rsidRPr="00422E41">
        <w:tab/>
        <w:t xml:space="preserve">За звітний період на території міста відкрились 2 супермаркети, 12 магазинів, 18 закладів </w:t>
      </w:r>
      <w:r w:rsidRPr="00C50BA7">
        <w:rPr>
          <w:lang w:val="uk-UA"/>
        </w:rPr>
        <w:t>ресторанного</w:t>
      </w:r>
      <w:r w:rsidRPr="00422E41">
        <w:t xml:space="preserve"> господарства, в результаті чого створено додатково 112 робочих місць.</w:t>
      </w:r>
    </w:p>
    <w:p w:rsidR="00C50BA7" w:rsidRPr="00C50BA7" w:rsidRDefault="00C50BA7" w:rsidP="0019413C">
      <w:pPr>
        <w:contextualSpacing/>
        <w:jc w:val="both"/>
        <w:rPr>
          <w:lang w:val="uk-UA"/>
        </w:rPr>
      </w:pPr>
    </w:p>
    <w:tbl>
      <w:tblPr>
        <w:tblW w:w="9469"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090"/>
        <w:gridCol w:w="992"/>
        <w:gridCol w:w="1134"/>
        <w:gridCol w:w="992"/>
        <w:gridCol w:w="993"/>
        <w:gridCol w:w="992"/>
        <w:gridCol w:w="1276"/>
      </w:tblGrid>
      <w:tr w:rsidR="0019413C" w:rsidRPr="00C50BA7" w:rsidTr="00716FBF">
        <w:tc>
          <w:tcPr>
            <w:tcW w:w="3090" w:type="dxa"/>
          </w:tcPr>
          <w:p w:rsidR="0019413C" w:rsidRPr="00C50BA7" w:rsidRDefault="0019413C" w:rsidP="00B07213">
            <w:pPr>
              <w:jc w:val="both"/>
              <w:rPr>
                <w:b/>
                <w:sz w:val="24"/>
                <w:szCs w:val="24"/>
              </w:rPr>
            </w:pPr>
            <w:r w:rsidRPr="00C50BA7">
              <w:rPr>
                <w:b/>
                <w:sz w:val="24"/>
                <w:szCs w:val="24"/>
              </w:rPr>
              <w:t>Показники</w:t>
            </w:r>
          </w:p>
        </w:tc>
        <w:tc>
          <w:tcPr>
            <w:tcW w:w="992" w:type="dxa"/>
          </w:tcPr>
          <w:p w:rsidR="0019413C" w:rsidRPr="00C50BA7" w:rsidRDefault="0019413C" w:rsidP="00B07213">
            <w:pPr>
              <w:jc w:val="center"/>
              <w:rPr>
                <w:b/>
                <w:sz w:val="24"/>
                <w:szCs w:val="24"/>
              </w:rPr>
            </w:pPr>
            <w:r w:rsidRPr="00C50BA7">
              <w:rPr>
                <w:b/>
                <w:sz w:val="24"/>
                <w:szCs w:val="24"/>
              </w:rPr>
              <w:t>один вим.</w:t>
            </w:r>
          </w:p>
        </w:tc>
        <w:tc>
          <w:tcPr>
            <w:tcW w:w="1134" w:type="dxa"/>
          </w:tcPr>
          <w:p w:rsidR="0019413C" w:rsidRPr="00C50BA7" w:rsidRDefault="0019413C" w:rsidP="00B07213">
            <w:pPr>
              <w:jc w:val="center"/>
              <w:rPr>
                <w:b/>
                <w:sz w:val="24"/>
                <w:szCs w:val="24"/>
              </w:rPr>
            </w:pPr>
            <w:r w:rsidRPr="00C50BA7">
              <w:rPr>
                <w:b/>
                <w:sz w:val="24"/>
                <w:szCs w:val="24"/>
              </w:rPr>
              <w:t xml:space="preserve">2016 р. </w:t>
            </w:r>
          </w:p>
        </w:tc>
        <w:tc>
          <w:tcPr>
            <w:tcW w:w="992" w:type="dxa"/>
          </w:tcPr>
          <w:p w:rsidR="0019413C" w:rsidRPr="00C50BA7" w:rsidRDefault="0019413C" w:rsidP="00B07213">
            <w:pPr>
              <w:jc w:val="center"/>
              <w:rPr>
                <w:b/>
                <w:sz w:val="24"/>
                <w:szCs w:val="24"/>
              </w:rPr>
            </w:pPr>
            <w:r w:rsidRPr="00C50BA7">
              <w:rPr>
                <w:b/>
                <w:sz w:val="24"/>
                <w:szCs w:val="24"/>
              </w:rPr>
              <w:t xml:space="preserve">2017 р. </w:t>
            </w:r>
          </w:p>
        </w:tc>
        <w:tc>
          <w:tcPr>
            <w:tcW w:w="993" w:type="dxa"/>
          </w:tcPr>
          <w:p w:rsidR="0019413C" w:rsidRPr="00C50BA7" w:rsidRDefault="0019413C" w:rsidP="00B07213">
            <w:pPr>
              <w:jc w:val="center"/>
              <w:rPr>
                <w:b/>
                <w:sz w:val="24"/>
                <w:szCs w:val="24"/>
              </w:rPr>
            </w:pPr>
            <w:r w:rsidRPr="00C50BA7">
              <w:rPr>
                <w:b/>
                <w:sz w:val="24"/>
                <w:szCs w:val="24"/>
              </w:rPr>
              <w:t xml:space="preserve">2018 р. </w:t>
            </w:r>
          </w:p>
        </w:tc>
        <w:tc>
          <w:tcPr>
            <w:tcW w:w="992" w:type="dxa"/>
          </w:tcPr>
          <w:p w:rsidR="0019413C" w:rsidRPr="00C50BA7" w:rsidRDefault="0019413C" w:rsidP="00B07213">
            <w:pPr>
              <w:jc w:val="center"/>
              <w:rPr>
                <w:b/>
                <w:sz w:val="24"/>
                <w:szCs w:val="24"/>
              </w:rPr>
            </w:pPr>
            <w:r w:rsidRPr="00C50BA7">
              <w:rPr>
                <w:b/>
                <w:sz w:val="24"/>
                <w:szCs w:val="24"/>
              </w:rPr>
              <w:t>2019 р.</w:t>
            </w:r>
          </w:p>
        </w:tc>
        <w:tc>
          <w:tcPr>
            <w:tcW w:w="1276" w:type="dxa"/>
          </w:tcPr>
          <w:p w:rsidR="0019413C" w:rsidRPr="00C50BA7" w:rsidRDefault="0019413C" w:rsidP="003066DC">
            <w:pPr>
              <w:rPr>
                <w:b/>
                <w:sz w:val="24"/>
                <w:szCs w:val="24"/>
              </w:rPr>
            </w:pPr>
            <w:r w:rsidRPr="00C50BA7">
              <w:rPr>
                <w:b/>
                <w:sz w:val="24"/>
                <w:szCs w:val="24"/>
              </w:rPr>
              <w:t xml:space="preserve"> 2019р. у % до 201</w:t>
            </w:r>
            <w:r w:rsidR="003066DC">
              <w:rPr>
                <w:b/>
                <w:sz w:val="24"/>
                <w:szCs w:val="24"/>
                <w:lang w:val="uk-UA"/>
              </w:rPr>
              <w:t>8</w:t>
            </w:r>
            <w:r w:rsidRPr="00C50BA7">
              <w:rPr>
                <w:b/>
                <w:sz w:val="24"/>
                <w:szCs w:val="24"/>
              </w:rPr>
              <w:t>р.</w:t>
            </w:r>
          </w:p>
        </w:tc>
      </w:tr>
      <w:tr w:rsidR="0019413C" w:rsidRPr="00C50BA7" w:rsidTr="00716FBF">
        <w:tc>
          <w:tcPr>
            <w:tcW w:w="3090" w:type="dxa"/>
          </w:tcPr>
          <w:p w:rsidR="0019413C" w:rsidRPr="00C50BA7" w:rsidRDefault="0019413C" w:rsidP="00B07213">
            <w:pPr>
              <w:jc w:val="both"/>
              <w:rPr>
                <w:b/>
                <w:i/>
                <w:sz w:val="24"/>
                <w:szCs w:val="24"/>
              </w:rPr>
            </w:pPr>
            <w:r w:rsidRPr="00C50BA7">
              <w:rPr>
                <w:b/>
                <w:i/>
                <w:sz w:val="24"/>
                <w:szCs w:val="24"/>
              </w:rPr>
              <w:t xml:space="preserve"> Торгівля</w:t>
            </w:r>
          </w:p>
        </w:tc>
        <w:tc>
          <w:tcPr>
            <w:tcW w:w="992" w:type="dxa"/>
          </w:tcPr>
          <w:p w:rsidR="0019413C" w:rsidRPr="00C50BA7" w:rsidRDefault="0019413C" w:rsidP="00B07213">
            <w:pPr>
              <w:jc w:val="center"/>
              <w:rPr>
                <w:sz w:val="24"/>
                <w:szCs w:val="24"/>
              </w:rPr>
            </w:pPr>
          </w:p>
        </w:tc>
        <w:tc>
          <w:tcPr>
            <w:tcW w:w="1134" w:type="dxa"/>
          </w:tcPr>
          <w:p w:rsidR="0019413C" w:rsidRPr="00C50BA7" w:rsidRDefault="0019413C" w:rsidP="00B07213">
            <w:pPr>
              <w:jc w:val="both"/>
              <w:rPr>
                <w:sz w:val="24"/>
                <w:szCs w:val="24"/>
              </w:rPr>
            </w:pPr>
          </w:p>
        </w:tc>
        <w:tc>
          <w:tcPr>
            <w:tcW w:w="992" w:type="dxa"/>
          </w:tcPr>
          <w:p w:rsidR="0019413C" w:rsidRPr="00C50BA7" w:rsidRDefault="0019413C" w:rsidP="00B07213">
            <w:pPr>
              <w:jc w:val="both"/>
              <w:rPr>
                <w:sz w:val="24"/>
                <w:szCs w:val="24"/>
              </w:rPr>
            </w:pPr>
          </w:p>
        </w:tc>
        <w:tc>
          <w:tcPr>
            <w:tcW w:w="993" w:type="dxa"/>
          </w:tcPr>
          <w:p w:rsidR="0019413C" w:rsidRPr="00C50BA7" w:rsidRDefault="0019413C" w:rsidP="00B07213">
            <w:pPr>
              <w:jc w:val="both"/>
              <w:rPr>
                <w:sz w:val="24"/>
                <w:szCs w:val="24"/>
              </w:rPr>
            </w:pPr>
          </w:p>
        </w:tc>
        <w:tc>
          <w:tcPr>
            <w:tcW w:w="992" w:type="dxa"/>
          </w:tcPr>
          <w:p w:rsidR="0019413C" w:rsidRPr="00C50BA7" w:rsidRDefault="0019413C" w:rsidP="00B07213">
            <w:pPr>
              <w:jc w:val="both"/>
              <w:rPr>
                <w:sz w:val="24"/>
                <w:szCs w:val="24"/>
              </w:rPr>
            </w:pPr>
          </w:p>
        </w:tc>
        <w:tc>
          <w:tcPr>
            <w:tcW w:w="1276" w:type="dxa"/>
          </w:tcPr>
          <w:p w:rsidR="0019413C" w:rsidRPr="00C50BA7" w:rsidRDefault="0019413C" w:rsidP="00B07213">
            <w:pPr>
              <w:jc w:val="both"/>
              <w:rPr>
                <w:sz w:val="24"/>
                <w:szCs w:val="24"/>
              </w:rPr>
            </w:pPr>
          </w:p>
        </w:tc>
      </w:tr>
      <w:tr w:rsidR="0019413C" w:rsidRPr="00C50BA7" w:rsidTr="00716FBF">
        <w:tc>
          <w:tcPr>
            <w:tcW w:w="3090" w:type="dxa"/>
          </w:tcPr>
          <w:p w:rsidR="0019413C" w:rsidRPr="00C50BA7" w:rsidRDefault="0019413C" w:rsidP="00B07213">
            <w:pPr>
              <w:rPr>
                <w:sz w:val="24"/>
                <w:szCs w:val="24"/>
              </w:rPr>
            </w:pPr>
            <w:r w:rsidRPr="00C50BA7">
              <w:rPr>
                <w:sz w:val="24"/>
                <w:szCs w:val="24"/>
              </w:rPr>
              <w:t>- об’єкти торгівлі</w:t>
            </w:r>
          </w:p>
        </w:tc>
        <w:tc>
          <w:tcPr>
            <w:tcW w:w="992" w:type="dxa"/>
          </w:tcPr>
          <w:p w:rsidR="0019413C" w:rsidRPr="00C50BA7" w:rsidRDefault="0019413C" w:rsidP="00B07213">
            <w:pPr>
              <w:jc w:val="center"/>
              <w:rPr>
                <w:sz w:val="24"/>
                <w:szCs w:val="24"/>
              </w:rPr>
            </w:pPr>
            <w:r w:rsidRPr="00C50BA7">
              <w:rPr>
                <w:sz w:val="24"/>
                <w:szCs w:val="24"/>
              </w:rPr>
              <w:t>од.</w:t>
            </w:r>
          </w:p>
        </w:tc>
        <w:tc>
          <w:tcPr>
            <w:tcW w:w="1134" w:type="dxa"/>
          </w:tcPr>
          <w:p w:rsidR="0019413C" w:rsidRPr="00C50BA7" w:rsidRDefault="0019413C" w:rsidP="00B07213">
            <w:pPr>
              <w:jc w:val="center"/>
              <w:rPr>
                <w:sz w:val="24"/>
                <w:szCs w:val="24"/>
              </w:rPr>
            </w:pPr>
            <w:r w:rsidRPr="00C50BA7">
              <w:rPr>
                <w:sz w:val="24"/>
                <w:szCs w:val="24"/>
              </w:rPr>
              <w:t>1612</w:t>
            </w:r>
          </w:p>
        </w:tc>
        <w:tc>
          <w:tcPr>
            <w:tcW w:w="992" w:type="dxa"/>
          </w:tcPr>
          <w:p w:rsidR="0019413C" w:rsidRPr="00C50BA7" w:rsidRDefault="0019413C" w:rsidP="00B07213">
            <w:pPr>
              <w:jc w:val="center"/>
              <w:rPr>
                <w:sz w:val="24"/>
                <w:szCs w:val="24"/>
              </w:rPr>
            </w:pPr>
            <w:r w:rsidRPr="00C50BA7">
              <w:rPr>
                <w:sz w:val="24"/>
                <w:szCs w:val="24"/>
              </w:rPr>
              <w:t>1614</w:t>
            </w:r>
          </w:p>
        </w:tc>
        <w:tc>
          <w:tcPr>
            <w:tcW w:w="993" w:type="dxa"/>
          </w:tcPr>
          <w:p w:rsidR="0019413C" w:rsidRPr="00C50BA7" w:rsidRDefault="0019413C" w:rsidP="00B07213">
            <w:pPr>
              <w:jc w:val="center"/>
              <w:rPr>
                <w:sz w:val="24"/>
                <w:szCs w:val="24"/>
              </w:rPr>
            </w:pPr>
            <w:r w:rsidRPr="00C50BA7">
              <w:rPr>
                <w:sz w:val="24"/>
                <w:szCs w:val="24"/>
              </w:rPr>
              <w:t>1636</w:t>
            </w:r>
          </w:p>
        </w:tc>
        <w:tc>
          <w:tcPr>
            <w:tcW w:w="992" w:type="dxa"/>
          </w:tcPr>
          <w:p w:rsidR="0019413C" w:rsidRPr="00C50BA7" w:rsidRDefault="0019413C" w:rsidP="00B07213">
            <w:pPr>
              <w:jc w:val="center"/>
              <w:rPr>
                <w:sz w:val="24"/>
                <w:szCs w:val="24"/>
              </w:rPr>
            </w:pPr>
            <w:r w:rsidRPr="00C50BA7">
              <w:rPr>
                <w:sz w:val="24"/>
                <w:szCs w:val="24"/>
              </w:rPr>
              <w:t>1643</w:t>
            </w:r>
          </w:p>
        </w:tc>
        <w:tc>
          <w:tcPr>
            <w:tcW w:w="1276" w:type="dxa"/>
          </w:tcPr>
          <w:p w:rsidR="0019413C" w:rsidRPr="003066DC" w:rsidRDefault="003066DC" w:rsidP="00B07213">
            <w:pPr>
              <w:jc w:val="center"/>
              <w:rPr>
                <w:sz w:val="24"/>
                <w:szCs w:val="24"/>
                <w:lang w:val="uk-UA"/>
              </w:rPr>
            </w:pPr>
            <w:r>
              <w:rPr>
                <w:sz w:val="24"/>
                <w:szCs w:val="24"/>
                <w:lang w:val="uk-UA"/>
              </w:rPr>
              <w:t>100,4</w:t>
            </w:r>
          </w:p>
        </w:tc>
      </w:tr>
      <w:tr w:rsidR="0019413C" w:rsidRPr="00C50BA7" w:rsidTr="00716FBF">
        <w:tc>
          <w:tcPr>
            <w:tcW w:w="3090" w:type="dxa"/>
          </w:tcPr>
          <w:p w:rsidR="0019413C" w:rsidRPr="00C50BA7" w:rsidRDefault="0019413C" w:rsidP="00B07213">
            <w:pPr>
              <w:rPr>
                <w:sz w:val="24"/>
                <w:szCs w:val="24"/>
              </w:rPr>
            </w:pPr>
            <w:r w:rsidRPr="00C50BA7">
              <w:rPr>
                <w:sz w:val="24"/>
                <w:szCs w:val="24"/>
              </w:rPr>
              <w:t>- загальна торгова площа</w:t>
            </w:r>
          </w:p>
        </w:tc>
        <w:tc>
          <w:tcPr>
            <w:tcW w:w="992" w:type="dxa"/>
          </w:tcPr>
          <w:p w:rsidR="0019413C" w:rsidRPr="00C50BA7" w:rsidRDefault="0019413C" w:rsidP="00B07213">
            <w:pPr>
              <w:jc w:val="center"/>
              <w:rPr>
                <w:sz w:val="24"/>
                <w:szCs w:val="24"/>
                <w:vertAlign w:val="superscript"/>
              </w:rPr>
            </w:pPr>
            <w:r w:rsidRPr="00C50BA7">
              <w:rPr>
                <w:sz w:val="24"/>
                <w:szCs w:val="24"/>
              </w:rPr>
              <w:t>тис. м</w:t>
            </w:r>
            <w:r w:rsidRPr="00C50BA7">
              <w:rPr>
                <w:sz w:val="24"/>
                <w:szCs w:val="24"/>
                <w:vertAlign w:val="superscript"/>
              </w:rPr>
              <w:t>2</w:t>
            </w:r>
          </w:p>
        </w:tc>
        <w:tc>
          <w:tcPr>
            <w:tcW w:w="1134" w:type="dxa"/>
          </w:tcPr>
          <w:p w:rsidR="0019413C" w:rsidRPr="00C50BA7" w:rsidRDefault="0019413C" w:rsidP="00B07213">
            <w:pPr>
              <w:jc w:val="center"/>
              <w:rPr>
                <w:sz w:val="24"/>
                <w:szCs w:val="24"/>
              </w:rPr>
            </w:pPr>
            <w:r w:rsidRPr="00C50BA7">
              <w:rPr>
                <w:sz w:val="24"/>
                <w:szCs w:val="24"/>
              </w:rPr>
              <w:t>160,3</w:t>
            </w:r>
          </w:p>
        </w:tc>
        <w:tc>
          <w:tcPr>
            <w:tcW w:w="992" w:type="dxa"/>
          </w:tcPr>
          <w:p w:rsidR="0019413C" w:rsidRPr="00C50BA7" w:rsidRDefault="0019413C" w:rsidP="00B07213">
            <w:pPr>
              <w:jc w:val="center"/>
              <w:rPr>
                <w:sz w:val="24"/>
                <w:szCs w:val="24"/>
              </w:rPr>
            </w:pPr>
            <w:r w:rsidRPr="00C50BA7">
              <w:rPr>
                <w:sz w:val="24"/>
                <w:szCs w:val="24"/>
              </w:rPr>
              <w:t>160,3</w:t>
            </w:r>
          </w:p>
        </w:tc>
        <w:tc>
          <w:tcPr>
            <w:tcW w:w="993" w:type="dxa"/>
          </w:tcPr>
          <w:p w:rsidR="0019413C" w:rsidRPr="00C50BA7" w:rsidRDefault="0019413C" w:rsidP="00B07213">
            <w:pPr>
              <w:jc w:val="center"/>
              <w:rPr>
                <w:sz w:val="24"/>
                <w:szCs w:val="24"/>
              </w:rPr>
            </w:pPr>
            <w:r w:rsidRPr="00C50BA7">
              <w:rPr>
                <w:sz w:val="24"/>
                <w:szCs w:val="24"/>
              </w:rPr>
              <w:t>162,1</w:t>
            </w:r>
          </w:p>
        </w:tc>
        <w:tc>
          <w:tcPr>
            <w:tcW w:w="992" w:type="dxa"/>
          </w:tcPr>
          <w:p w:rsidR="0019413C" w:rsidRPr="00C50BA7" w:rsidRDefault="0019413C" w:rsidP="00B07213">
            <w:pPr>
              <w:jc w:val="center"/>
              <w:rPr>
                <w:sz w:val="24"/>
                <w:szCs w:val="24"/>
              </w:rPr>
            </w:pPr>
            <w:r w:rsidRPr="00C50BA7">
              <w:rPr>
                <w:sz w:val="24"/>
                <w:szCs w:val="24"/>
              </w:rPr>
              <w:t>165,8</w:t>
            </w:r>
          </w:p>
        </w:tc>
        <w:tc>
          <w:tcPr>
            <w:tcW w:w="1276" w:type="dxa"/>
          </w:tcPr>
          <w:p w:rsidR="0019413C" w:rsidRPr="003066DC" w:rsidRDefault="003066DC" w:rsidP="00B07213">
            <w:pPr>
              <w:jc w:val="center"/>
              <w:rPr>
                <w:sz w:val="24"/>
                <w:szCs w:val="24"/>
                <w:lang w:val="uk-UA"/>
              </w:rPr>
            </w:pPr>
            <w:r>
              <w:rPr>
                <w:sz w:val="24"/>
                <w:szCs w:val="24"/>
                <w:lang w:val="uk-UA"/>
              </w:rPr>
              <w:t>102,3</w:t>
            </w:r>
          </w:p>
        </w:tc>
      </w:tr>
      <w:tr w:rsidR="0019413C" w:rsidRPr="00C50BA7" w:rsidTr="00716FBF">
        <w:tc>
          <w:tcPr>
            <w:tcW w:w="3090" w:type="dxa"/>
          </w:tcPr>
          <w:p w:rsidR="0019413C" w:rsidRPr="00C50BA7" w:rsidRDefault="0019413C" w:rsidP="00B07213">
            <w:pPr>
              <w:jc w:val="both"/>
              <w:rPr>
                <w:sz w:val="24"/>
                <w:szCs w:val="24"/>
              </w:rPr>
            </w:pPr>
            <w:r w:rsidRPr="00C50BA7">
              <w:rPr>
                <w:sz w:val="24"/>
                <w:szCs w:val="24"/>
              </w:rPr>
              <w:t>- торгова площа на 1 тис. мешканців</w:t>
            </w:r>
          </w:p>
        </w:tc>
        <w:tc>
          <w:tcPr>
            <w:tcW w:w="992" w:type="dxa"/>
          </w:tcPr>
          <w:p w:rsidR="0019413C" w:rsidRPr="00C50BA7" w:rsidRDefault="0019413C" w:rsidP="00B07213">
            <w:pPr>
              <w:jc w:val="center"/>
              <w:rPr>
                <w:sz w:val="24"/>
                <w:szCs w:val="24"/>
              </w:rPr>
            </w:pPr>
            <w:r w:rsidRPr="00C50BA7">
              <w:rPr>
                <w:sz w:val="24"/>
                <w:szCs w:val="24"/>
              </w:rPr>
              <w:t>кв.м</w:t>
            </w:r>
          </w:p>
        </w:tc>
        <w:tc>
          <w:tcPr>
            <w:tcW w:w="1134" w:type="dxa"/>
          </w:tcPr>
          <w:p w:rsidR="0019413C" w:rsidRPr="00C50BA7" w:rsidRDefault="0019413C" w:rsidP="00B07213">
            <w:pPr>
              <w:jc w:val="center"/>
              <w:rPr>
                <w:sz w:val="24"/>
                <w:szCs w:val="24"/>
              </w:rPr>
            </w:pPr>
            <w:r w:rsidRPr="00C50BA7">
              <w:rPr>
                <w:sz w:val="24"/>
                <w:szCs w:val="24"/>
              </w:rPr>
              <w:t>635,2</w:t>
            </w:r>
          </w:p>
        </w:tc>
        <w:tc>
          <w:tcPr>
            <w:tcW w:w="992" w:type="dxa"/>
          </w:tcPr>
          <w:p w:rsidR="0019413C" w:rsidRPr="00C50BA7" w:rsidRDefault="0019413C" w:rsidP="00B07213">
            <w:pPr>
              <w:jc w:val="center"/>
              <w:rPr>
                <w:sz w:val="24"/>
                <w:szCs w:val="24"/>
              </w:rPr>
            </w:pPr>
            <w:r w:rsidRPr="00C50BA7">
              <w:rPr>
                <w:sz w:val="24"/>
                <w:szCs w:val="24"/>
              </w:rPr>
              <w:t>637,0</w:t>
            </w:r>
          </w:p>
        </w:tc>
        <w:tc>
          <w:tcPr>
            <w:tcW w:w="993" w:type="dxa"/>
          </w:tcPr>
          <w:p w:rsidR="0019413C" w:rsidRPr="00C50BA7" w:rsidRDefault="0019413C" w:rsidP="00B07213">
            <w:pPr>
              <w:jc w:val="center"/>
              <w:rPr>
                <w:sz w:val="24"/>
                <w:szCs w:val="24"/>
              </w:rPr>
            </w:pPr>
            <w:r w:rsidRPr="00C50BA7">
              <w:rPr>
                <w:sz w:val="24"/>
                <w:szCs w:val="24"/>
              </w:rPr>
              <w:t>637,7</w:t>
            </w:r>
          </w:p>
        </w:tc>
        <w:tc>
          <w:tcPr>
            <w:tcW w:w="992" w:type="dxa"/>
          </w:tcPr>
          <w:p w:rsidR="0019413C" w:rsidRPr="00C50BA7" w:rsidRDefault="0019413C" w:rsidP="00B07213">
            <w:pPr>
              <w:jc w:val="center"/>
              <w:rPr>
                <w:sz w:val="24"/>
                <w:szCs w:val="24"/>
              </w:rPr>
            </w:pPr>
            <w:r w:rsidRPr="00C50BA7">
              <w:rPr>
                <w:sz w:val="24"/>
                <w:szCs w:val="24"/>
              </w:rPr>
              <w:t>635,6</w:t>
            </w:r>
          </w:p>
        </w:tc>
        <w:tc>
          <w:tcPr>
            <w:tcW w:w="1276" w:type="dxa"/>
          </w:tcPr>
          <w:p w:rsidR="0019413C" w:rsidRPr="003066DC" w:rsidRDefault="003066DC" w:rsidP="00B07213">
            <w:pPr>
              <w:jc w:val="center"/>
              <w:rPr>
                <w:sz w:val="24"/>
                <w:szCs w:val="24"/>
                <w:lang w:val="uk-UA"/>
              </w:rPr>
            </w:pPr>
            <w:r>
              <w:rPr>
                <w:sz w:val="24"/>
                <w:szCs w:val="24"/>
                <w:lang w:val="uk-UA"/>
              </w:rPr>
              <w:t>99,7</w:t>
            </w:r>
          </w:p>
        </w:tc>
      </w:tr>
      <w:tr w:rsidR="0019413C" w:rsidRPr="00C50BA7" w:rsidTr="00716FBF">
        <w:tc>
          <w:tcPr>
            <w:tcW w:w="3090" w:type="dxa"/>
          </w:tcPr>
          <w:p w:rsidR="0019413C" w:rsidRPr="00C50BA7" w:rsidRDefault="0019413C" w:rsidP="00B07213">
            <w:pPr>
              <w:jc w:val="both"/>
              <w:rPr>
                <w:b/>
                <w:i/>
                <w:sz w:val="24"/>
                <w:szCs w:val="24"/>
              </w:rPr>
            </w:pPr>
            <w:r w:rsidRPr="00C50BA7">
              <w:rPr>
                <w:b/>
                <w:i/>
                <w:sz w:val="24"/>
                <w:szCs w:val="24"/>
              </w:rPr>
              <w:t>Об’єкти ресторанного господарства</w:t>
            </w:r>
          </w:p>
        </w:tc>
        <w:tc>
          <w:tcPr>
            <w:tcW w:w="992" w:type="dxa"/>
          </w:tcPr>
          <w:p w:rsidR="0019413C" w:rsidRPr="00C50BA7" w:rsidRDefault="0019413C" w:rsidP="00B07213">
            <w:pPr>
              <w:jc w:val="center"/>
              <w:rPr>
                <w:sz w:val="24"/>
                <w:szCs w:val="24"/>
              </w:rPr>
            </w:pPr>
            <w:r w:rsidRPr="00C50BA7">
              <w:rPr>
                <w:sz w:val="24"/>
                <w:szCs w:val="24"/>
              </w:rPr>
              <w:t>од.</w:t>
            </w:r>
          </w:p>
        </w:tc>
        <w:tc>
          <w:tcPr>
            <w:tcW w:w="1134" w:type="dxa"/>
          </w:tcPr>
          <w:p w:rsidR="0019413C" w:rsidRPr="00C50BA7" w:rsidRDefault="0019413C" w:rsidP="00B07213">
            <w:pPr>
              <w:jc w:val="center"/>
              <w:rPr>
                <w:sz w:val="24"/>
                <w:szCs w:val="24"/>
              </w:rPr>
            </w:pPr>
            <w:r w:rsidRPr="00C50BA7">
              <w:rPr>
                <w:sz w:val="24"/>
                <w:szCs w:val="24"/>
              </w:rPr>
              <w:t>655</w:t>
            </w:r>
          </w:p>
        </w:tc>
        <w:tc>
          <w:tcPr>
            <w:tcW w:w="992" w:type="dxa"/>
          </w:tcPr>
          <w:p w:rsidR="0019413C" w:rsidRPr="00C50BA7" w:rsidRDefault="0019413C" w:rsidP="00B07213">
            <w:pPr>
              <w:jc w:val="center"/>
              <w:rPr>
                <w:sz w:val="24"/>
                <w:szCs w:val="24"/>
              </w:rPr>
            </w:pPr>
            <w:r w:rsidRPr="00C50BA7">
              <w:rPr>
                <w:sz w:val="24"/>
                <w:szCs w:val="24"/>
              </w:rPr>
              <w:t>674</w:t>
            </w:r>
          </w:p>
        </w:tc>
        <w:tc>
          <w:tcPr>
            <w:tcW w:w="993" w:type="dxa"/>
          </w:tcPr>
          <w:p w:rsidR="0019413C" w:rsidRPr="00C50BA7" w:rsidRDefault="0019413C" w:rsidP="00B07213">
            <w:pPr>
              <w:jc w:val="center"/>
              <w:rPr>
                <w:sz w:val="24"/>
                <w:szCs w:val="24"/>
              </w:rPr>
            </w:pPr>
            <w:r w:rsidRPr="00C50BA7">
              <w:rPr>
                <w:sz w:val="24"/>
                <w:szCs w:val="24"/>
              </w:rPr>
              <w:t>682</w:t>
            </w:r>
          </w:p>
        </w:tc>
        <w:tc>
          <w:tcPr>
            <w:tcW w:w="992" w:type="dxa"/>
          </w:tcPr>
          <w:p w:rsidR="0019413C" w:rsidRPr="00C50BA7" w:rsidRDefault="0019413C" w:rsidP="00B07213">
            <w:pPr>
              <w:jc w:val="center"/>
              <w:rPr>
                <w:sz w:val="24"/>
                <w:szCs w:val="24"/>
              </w:rPr>
            </w:pPr>
            <w:r w:rsidRPr="00C50BA7">
              <w:rPr>
                <w:sz w:val="24"/>
                <w:szCs w:val="24"/>
              </w:rPr>
              <w:t>699</w:t>
            </w:r>
          </w:p>
        </w:tc>
        <w:tc>
          <w:tcPr>
            <w:tcW w:w="1276" w:type="dxa"/>
          </w:tcPr>
          <w:p w:rsidR="0019413C" w:rsidRPr="003066DC" w:rsidRDefault="003066DC" w:rsidP="00B07213">
            <w:pPr>
              <w:jc w:val="center"/>
              <w:rPr>
                <w:sz w:val="24"/>
                <w:szCs w:val="24"/>
                <w:lang w:val="uk-UA"/>
              </w:rPr>
            </w:pPr>
            <w:r>
              <w:rPr>
                <w:sz w:val="24"/>
                <w:szCs w:val="24"/>
                <w:lang w:val="uk-UA"/>
              </w:rPr>
              <w:t>102,5</w:t>
            </w:r>
          </w:p>
        </w:tc>
      </w:tr>
      <w:tr w:rsidR="0019413C" w:rsidRPr="00C50BA7" w:rsidTr="00716FBF">
        <w:tc>
          <w:tcPr>
            <w:tcW w:w="3090" w:type="dxa"/>
          </w:tcPr>
          <w:p w:rsidR="0019413C" w:rsidRPr="00C50BA7" w:rsidRDefault="0019413C" w:rsidP="00B07213">
            <w:pPr>
              <w:rPr>
                <w:sz w:val="24"/>
                <w:szCs w:val="24"/>
              </w:rPr>
            </w:pPr>
            <w:r w:rsidRPr="00C50BA7">
              <w:rPr>
                <w:sz w:val="24"/>
                <w:szCs w:val="24"/>
              </w:rPr>
              <w:t>- кількість посадкових місць</w:t>
            </w:r>
          </w:p>
        </w:tc>
        <w:tc>
          <w:tcPr>
            <w:tcW w:w="992" w:type="dxa"/>
          </w:tcPr>
          <w:p w:rsidR="0019413C" w:rsidRPr="00C50BA7" w:rsidRDefault="0019413C" w:rsidP="00B07213">
            <w:pPr>
              <w:jc w:val="center"/>
              <w:rPr>
                <w:sz w:val="24"/>
                <w:szCs w:val="24"/>
              </w:rPr>
            </w:pPr>
            <w:r w:rsidRPr="00C50BA7">
              <w:rPr>
                <w:sz w:val="24"/>
                <w:szCs w:val="24"/>
              </w:rPr>
              <w:t>тис.од.</w:t>
            </w:r>
          </w:p>
        </w:tc>
        <w:tc>
          <w:tcPr>
            <w:tcW w:w="1134" w:type="dxa"/>
          </w:tcPr>
          <w:p w:rsidR="0019413C" w:rsidRPr="00C50BA7" w:rsidRDefault="0019413C" w:rsidP="00B07213">
            <w:pPr>
              <w:jc w:val="center"/>
              <w:rPr>
                <w:sz w:val="24"/>
                <w:szCs w:val="24"/>
              </w:rPr>
            </w:pPr>
            <w:r w:rsidRPr="00C50BA7">
              <w:rPr>
                <w:sz w:val="24"/>
                <w:szCs w:val="24"/>
              </w:rPr>
              <w:t>37,1</w:t>
            </w:r>
          </w:p>
        </w:tc>
        <w:tc>
          <w:tcPr>
            <w:tcW w:w="992" w:type="dxa"/>
          </w:tcPr>
          <w:p w:rsidR="0019413C" w:rsidRPr="00C50BA7" w:rsidRDefault="0019413C" w:rsidP="00B07213">
            <w:pPr>
              <w:jc w:val="center"/>
              <w:rPr>
                <w:sz w:val="24"/>
                <w:szCs w:val="24"/>
              </w:rPr>
            </w:pPr>
            <w:r w:rsidRPr="00C50BA7">
              <w:rPr>
                <w:sz w:val="24"/>
                <w:szCs w:val="24"/>
              </w:rPr>
              <w:t>37,8</w:t>
            </w:r>
          </w:p>
        </w:tc>
        <w:tc>
          <w:tcPr>
            <w:tcW w:w="993" w:type="dxa"/>
          </w:tcPr>
          <w:p w:rsidR="0019413C" w:rsidRPr="00C50BA7" w:rsidRDefault="0019413C" w:rsidP="00B07213">
            <w:pPr>
              <w:jc w:val="center"/>
              <w:rPr>
                <w:sz w:val="24"/>
                <w:szCs w:val="24"/>
              </w:rPr>
            </w:pPr>
            <w:r w:rsidRPr="00C50BA7">
              <w:rPr>
                <w:sz w:val="24"/>
                <w:szCs w:val="24"/>
              </w:rPr>
              <w:t>38,1</w:t>
            </w:r>
          </w:p>
        </w:tc>
        <w:tc>
          <w:tcPr>
            <w:tcW w:w="992" w:type="dxa"/>
          </w:tcPr>
          <w:p w:rsidR="0019413C" w:rsidRPr="00C50BA7" w:rsidRDefault="0019413C" w:rsidP="00B07213">
            <w:pPr>
              <w:jc w:val="center"/>
              <w:rPr>
                <w:sz w:val="24"/>
                <w:szCs w:val="24"/>
              </w:rPr>
            </w:pPr>
            <w:r w:rsidRPr="00C50BA7">
              <w:rPr>
                <w:sz w:val="24"/>
                <w:szCs w:val="24"/>
              </w:rPr>
              <w:t xml:space="preserve">38,7 </w:t>
            </w:r>
          </w:p>
        </w:tc>
        <w:tc>
          <w:tcPr>
            <w:tcW w:w="1276" w:type="dxa"/>
          </w:tcPr>
          <w:p w:rsidR="0019413C" w:rsidRPr="003066DC" w:rsidRDefault="003066DC" w:rsidP="00B07213">
            <w:pPr>
              <w:jc w:val="center"/>
              <w:rPr>
                <w:sz w:val="24"/>
                <w:szCs w:val="24"/>
                <w:lang w:val="uk-UA"/>
              </w:rPr>
            </w:pPr>
            <w:r>
              <w:rPr>
                <w:sz w:val="24"/>
                <w:szCs w:val="24"/>
                <w:lang w:val="uk-UA"/>
              </w:rPr>
              <w:t>101,6</w:t>
            </w:r>
          </w:p>
        </w:tc>
      </w:tr>
      <w:tr w:rsidR="0019413C" w:rsidRPr="00C50BA7" w:rsidTr="00716FBF">
        <w:tc>
          <w:tcPr>
            <w:tcW w:w="3090" w:type="dxa"/>
          </w:tcPr>
          <w:p w:rsidR="0019413C" w:rsidRPr="00C50BA7" w:rsidRDefault="0019413C" w:rsidP="00B07213">
            <w:pPr>
              <w:rPr>
                <w:sz w:val="24"/>
                <w:szCs w:val="24"/>
              </w:rPr>
            </w:pPr>
            <w:r w:rsidRPr="00C50BA7">
              <w:rPr>
                <w:sz w:val="24"/>
                <w:szCs w:val="24"/>
              </w:rPr>
              <w:t>- кількість посадкових місць на 1 тис. мешканців</w:t>
            </w:r>
          </w:p>
        </w:tc>
        <w:tc>
          <w:tcPr>
            <w:tcW w:w="992" w:type="dxa"/>
          </w:tcPr>
          <w:p w:rsidR="0019413C" w:rsidRPr="00C50BA7" w:rsidRDefault="0019413C" w:rsidP="00B07213">
            <w:pPr>
              <w:jc w:val="center"/>
              <w:rPr>
                <w:sz w:val="24"/>
                <w:szCs w:val="24"/>
              </w:rPr>
            </w:pPr>
            <w:r w:rsidRPr="00C50BA7">
              <w:rPr>
                <w:sz w:val="24"/>
                <w:szCs w:val="24"/>
              </w:rPr>
              <w:t>од.</w:t>
            </w:r>
          </w:p>
        </w:tc>
        <w:tc>
          <w:tcPr>
            <w:tcW w:w="1134" w:type="dxa"/>
          </w:tcPr>
          <w:p w:rsidR="0019413C" w:rsidRPr="00C50BA7" w:rsidRDefault="0019413C" w:rsidP="00B07213">
            <w:pPr>
              <w:jc w:val="center"/>
              <w:rPr>
                <w:sz w:val="24"/>
                <w:szCs w:val="24"/>
              </w:rPr>
            </w:pPr>
            <w:r w:rsidRPr="00C50BA7">
              <w:rPr>
                <w:sz w:val="24"/>
                <w:szCs w:val="24"/>
              </w:rPr>
              <w:t>147,6</w:t>
            </w:r>
          </w:p>
        </w:tc>
        <w:tc>
          <w:tcPr>
            <w:tcW w:w="992" w:type="dxa"/>
          </w:tcPr>
          <w:p w:rsidR="0019413C" w:rsidRPr="00C50BA7" w:rsidRDefault="0019413C" w:rsidP="00B07213">
            <w:pPr>
              <w:jc w:val="center"/>
              <w:rPr>
                <w:sz w:val="24"/>
                <w:szCs w:val="24"/>
              </w:rPr>
            </w:pPr>
            <w:r w:rsidRPr="00C50BA7">
              <w:rPr>
                <w:sz w:val="24"/>
                <w:szCs w:val="24"/>
              </w:rPr>
              <w:t>148,7</w:t>
            </w:r>
          </w:p>
        </w:tc>
        <w:tc>
          <w:tcPr>
            <w:tcW w:w="993" w:type="dxa"/>
          </w:tcPr>
          <w:p w:rsidR="0019413C" w:rsidRPr="00C50BA7" w:rsidRDefault="0019413C" w:rsidP="00B07213">
            <w:pPr>
              <w:jc w:val="center"/>
              <w:rPr>
                <w:sz w:val="24"/>
                <w:szCs w:val="24"/>
              </w:rPr>
            </w:pPr>
            <w:r w:rsidRPr="00C50BA7">
              <w:rPr>
                <w:sz w:val="24"/>
                <w:szCs w:val="24"/>
              </w:rPr>
              <w:t>149,2</w:t>
            </w:r>
          </w:p>
        </w:tc>
        <w:tc>
          <w:tcPr>
            <w:tcW w:w="992" w:type="dxa"/>
          </w:tcPr>
          <w:p w:rsidR="0019413C" w:rsidRPr="00C50BA7" w:rsidRDefault="0019413C" w:rsidP="00B07213">
            <w:pPr>
              <w:jc w:val="center"/>
              <w:rPr>
                <w:sz w:val="24"/>
                <w:szCs w:val="24"/>
              </w:rPr>
            </w:pPr>
            <w:r w:rsidRPr="00C50BA7">
              <w:rPr>
                <w:sz w:val="24"/>
                <w:szCs w:val="24"/>
              </w:rPr>
              <w:t>148,1</w:t>
            </w:r>
          </w:p>
        </w:tc>
        <w:tc>
          <w:tcPr>
            <w:tcW w:w="1276" w:type="dxa"/>
          </w:tcPr>
          <w:p w:rsidR="0019413C" w:rsidRPr="003066DC" w:rsidRDefault="003066DC" w:rsidP="00B07213">
            <w:pPr>
              <w:jc w:val="center"/>
              <w:rPr>
                <w:sz w:val="24"/>
                <w:szCs w:val="24"/>
                <w:lang w:val="uk-UA"/>
              </w:rPr>
            </w:pPr>
            <w:r>
              <w:rPr>
                <w:sz w:val="24"/>
                <w:szCs w:val="24"/>
                <w:lang w:val="uk-UA"/>
              </w:rPr>
              <w:t>99,3</w:t>
            </w:r>
          </w:p>
        </w:tc>
      </w:tr>
      <w:tr w:rsidR="0019413C" w:rsidRPr="00C50BA7" w:rsidTr="00716FBF">
        <w:tc>
          <w:tcPr>
            <w:tcW w:w="3090" w:type="dxa"/>
          </w:tcPr>
          <w:p w:rsidR="0019413C" w:rsidRPr="00C50BA7" w:rsidRDefault="0019413C" w:rsidP="00B07213">
            <w:pPr>
              <w:jc w:val="both"/>
              <w:rPr>
                <w:b/>
                <w:i/>
                <w:sz w:val="24"/>
                <w:szCs w:val="24"/>
              </w:rPr>
            </w:pPr>
            <w:r w:rsidRPr="00C50BA7">
              <w:rPr>
                <w:b/>
                <w:i/>
                <w:sz w:val="24"/>
                <w:szCs w:val="24"/>
              </w:rPr>
              <w:t>Об’єкти побутового обслуговування</w:t>
            </w:r>
          </w:p>
        </w:tc>
        <w:tc>
          <w:tcPr>
            <w:tcW w:w="992" w:type="dxa"/>
          </w:tcPr>
          <w:p w:rsidR="0019413C" w:rsidRPr="00C50BA7" w:rsidRDefault="0019413C" w:rsidP="00B07213">
            <w:pPr>
              <w:jc w:val="center"/>
              <w:rPr>
                <w:sz w:val="24"/>
                <w:szCs w:val="24"/>
              </w:rPr>
            </w:pPr>
            <w:r w:rsidRPr="00C50BA7">
              <w:rPr>
                <w:sz w:val="24"/>
                <w:szCs w:val="24"/>
              </w:rPr>
              <w:t>од.</w:t>
            </w:r>
          </w:p>
        </w:tc>
        <w:tc>
          <w:tcPr>
            <w:tcW w:w="1134" w:type="dxa"/>
          </w:tcPr>
          <w:p w:rsidR="0019413C" w:rsidRPr="00C50BA7" w:rsidRDefault="0019413C" w:rsidP="00B07213">
            <w:pPr>
              <w:jc w:val="center"/>
              <w:rPr>
                <w:sz w:val="24"/>
                <w:szCs w:val="24"/>
              </w:rPr>
            </w:pPr>
            <w:r w:rsidRPr="00C50BA7">
              <w:rPr>
                <w:sz w:val="24"/>
                <w:szCs w:val="24"/>
              </w:rPr>
              <w:t>389</w:t>
            </w:r>
          </w:p>
        </w:tc>
        <w:tc>
          <w:tcPr>
            <w:tcW w:w="992" w:type="dxa"/>
          </w:tcPr>
          <w:p w:rsidR="0019413C" w:rsidRPr="00C50BA7" w:rsidRDefault="0019413C" w:rsidP="00B07213">
            <w:pPr>
              <w:jc w:val="center"/>
              <w:rPr>
                <w:sz w:val="24"/>
                <w:szCs w:val="24"/>
              </w:rPr>
            </w:pPr>
            <w:r w:rsidRPr="00C50BA7">
              <w:rPr>
                <w:sz w:val="24"/>
                <w:szCs w:val="24"/>
              </w:rPr>
              <w:t>395</w:t>
            </w:r>
          </w:p>
        </w:tc>
        <w:tc>
          <w:tcPr>
            <w:tcW w:w="993" w:type="dxa"/>
          </w:tcPr>
          <w:p w:rsidR="0019413C" w:rsidRPr="00C50BA7" w:rsidRDefault="0019413C" w:rsidP="00B07213">
            <w:pPr>
              <w:jc w:val="center"/>
              <w:rPr>
                <w:sz w:val="24"/>
                <w:szCs w:val="24"/>
              </w:rPr>
            </w:pPr>
            <w:r w:rsidRPr="00C50BA7">
              <w:rPr>
                <w:sz w:val="24"/>
                <w:szCs w:val="24"/>
              </w:rPr>
              <w:t>398</w:t>
            </w:r>
          </w:p>
        </w:tc>
        <w:tc>
          <w:tcPr>
            <w:tcW w:w="992" w:type="dxa"/>
          </w:tcPr>
          <w:p w:rsidR="0019413C" w:rsidRPr="00C50BA7" w:rsidRDefault="0019413C" w:rsidP="00B07213">
            <w:pPr>
              <w:jc w:val="center"/>
              <w:rPr>
                <w:sz w:val="24"/>
                <w:szCs w:val="24"/>
              </w:rPr>
            </w:pPr>
            <w:r w:rsidRPr="00C50BA7">
              <w:rPr>
                <w:sz w:val="24"/>
                <w:szCs w:val="24"/>
              </w:rPr>
              <w:t>391</w:t>
            </w:r>
          </w:p>
        </w:tc>
        <w:tc>
          <w:tcPr>
            <w:tcW w:w="1276" w:type="dxa"/>
          </w:tcPr>
          <w:p w:rsidR="0019413C" w:rsidRPr="003066DC" w:rsidRDefault="003066DC" w:rsidP="00B07213">
            <w:pPr>
              <w:jc w:val="center"/>
              <w:rPr>
                <w:sz w:val="24"/>
                <w:szCs w:val="24"/>
                <w:lang w:val="uk-UA"/>
              </w:rPr>
            </w:pPr>
            <w:r>
              <w:rPr>
                <w:sz w:val="24"/>
                <w:szCs w:val="24"/>
                <w:lang w:val="uk-UA"/>
              </w:rPr>
              <w:t>98,2</w:t>
            </w:r>
          </w:p>
        </w:tc>
      </w:tr>
      <w:tr w:rsidR="0019413C" w:rsidRPr="00C50BA7" w:rsidTr="00716FBF">
        <w:tc>
          <w:tcPr>
            <w:tcW w:w="3090" w:type="dxa"/>
          </w:tcPr>
          <w:p w:rsidR="0019413C" w:rsidRPr="00C50BA7" w:rsidRDefault="0019413C" w:rsidP="00B07213">
            <w:pPr>
              <w:jc w:val="both"/>
              <w:rPr>
                <w:b/>
                <w:i/>
                <w:sz w:val="24"/>
                <w:szCs w:val="24"/>
              </w:rPr>
            </w:pPr>
            <w:r w:rsidRPr="00C50BA7">
              <w:rPr>
                <w:b/>
                <w:i/>
                <w:sz w:val="24"/>
                <w:szCs w:val="24"/>
              </w:rPr>
              <w:t>Ринки</w:t>
            </w:r>
          </w:p>
        </w:tc>
        <w:tc>
          <w:tcPr>
            <w:tcW w:w="992" w:type="dxa"/>
          </w:tcPr>
          <w:p w:rsidR="0019413C" w:rsidRPr="00C50BA7" w:rsidRDefault="0019413C" w:rsidP="00B07213">
            <w:pPr>
              <w:jc w:val="center"/>
              <w:rPr>
                <w:sz w:val="24"/>
                <w:szCs w:val="24"/>
              </w:rPr>
            </w:pPr>
            <w:r w:rsidRPr="00C50BA7">
              <w:rPr>
                <w:sz w:val="24"/>
                <w:szCs w:val="24"/>
              </w:rPr>
              <w:t>од.</w:t>
            </w:r>
          </w:p>
        </w:tc>
        <w:tc>
          <w:tcPr>
            <w:tcW w:w="1134" w:type="dxa"/>
          </w:tcPr>
          <w:p w:rsidR="0019413C" w:rsidRPr="00C50BA7" w:rsidRDefault="0019413C" w:rsidP="00B07213">
            <w:pPr>
              <w:jc w:val="center"/>
              <w:rPr>
                <w:sz w:val="24"/>
                <w:szCs w:val="24"/>
              </w:rPr>
            </w:pPr>
          </w:p>
        </w:tc>
        <w:tc>
          <w:tcPr>
            <w:tcW w:w="992" w:type="dxa"/>
          </w:tcPr>
          <w:p w:rsidR="0019413C" w:rsidRPr="00C50BA7" w:rsidRDefault="0019413C" w:rsidP="00B07213">
            <w:pPr>
              <w:jc w:val="center"/>
              <w:rPr>
                <w:sz w:val="24"/>
                <w:szCs w:val="24"/>
              </w:rPr>
            </w:pPr>
          </w:p>
        </w:tc>
        <w:tc>
          <w:tcPr>
            <w:tcW w:w="993" w:type="dxa"/>
          </w:tcPr>
          <w:p w:rsidR="0019413C" w:rsidRPr="00C50BA7" w:rsidRDefault="0019413C" w:rsidP="00B07213">
            <w:pPr>
              <w:jc w:val="center"/>
              <w:rPr>
                <w:sz w:val="24"/>
                <w:szCs w:val="24"/>
              </w:rPr>
            </w:pPr>
          </w:p>
        </w:tc>
        <w:tc>
          <w:tcPr>
            <w:tcW w:w="992" w:type="dxa"/>
          </w:tcPr>
          <w:p w:rsidR="0019413C" w:rsidRPr="00C50BA7" w:rsidRDefault="0019413C" w:rsidP="00B07213">
            <w:pPr>
              <w:jc w:val="center"/>
              <w:rPr>
                <w:sz w:val="24"/>
                <w:szCs w:val="24"/>
              </w:rPr>
            </w:pPr>
          </w:p>
        </w:tc>
        <w:tc>
          <w:tcPr>
            <w:tcW w:w="1276" w:type="dxa"/>
          </w:tcPr>
          <w:p w:rsidR="0019413C" w:rsidRPr="00C50BA7" w:rsidRDefault="0019413C" w:rsidP="00B07213">
            <w:pPr>
              <w:jc w:val="center"/>
              <w:rPr>
                <w:sz w:val="24"/>
                <w:szCs w:val="24"/>
              </w:rPr>
            </w:pPr>
          </w:p>
        </w:tc>
      </w:tr>
      <w:tr w:rsidR="0019413C" w:rsidRPr="00C50BA7" w:rsidTr="00716FBF">
        <w:tc>
          <w:tcPr>
            <w:tcW w:w="3090" w:type="dxa"/>
          </w:tcPr>
          <w:p w:rsidR="0019413C" w:rsidRPr="00C50BA7" w:rsidRDefault="0019413C" w:rsidP="00B07213">
            <w:pPr>
              <w:rPr>
                <w:sz w:val="24"/>
                <w:szCs w:val="24"/>
              </w:rPr>
            </w:pPr>
            <w:r w:rsidRPr="00C50BA7">
              <w:rPr>
                <w:sz w:val="24"/>
                <w:szCs w:val="24"/>
              </w:rPr>
              <w:t>- кількість ринків</w:t>
            </w:r>
          </w:p>
        </w:tc>
        <w:tc>
          <w:tcPr>
            <w:tcW w:w="992" w:type="dxa"/>
          </w:tcPr>
          <w:p w:rsidR="0019413C" w:rsidRPr="00C50BA7" w:rsidRDefault="0019413C" w:rsidP="00B07213">
            <w:pPr>
              <w:jc w:val="center"/>
              <w:rPr>
                <w:sz w:val="24"/>
                <w:szCs w:val="24"/>
              </w:rPr>
            </w:pPr>
            <w:r w:rsidRPr="00C50BA7">
              <w:rPr>
                <w:sz w:val="24"/>
                <w:szCs w:val="24"/>
              </w:rPr>
              <w:t>од.</w:t>
            </w:r>
          </w:p>
        </w:tc>
        <w:tc>
          <w:tcPr>
            <w:tcW w:w="1134" w:type="dxa"/>
          </w:tcPr>
          <w:p w:rsidR="0019413C" w:rsidRPr="00C50BA7" w:rsidRDefault="0019413C" w:rsidP="00B07213">
            <w:pPr>
              <w:jc w:val="center"/>
              <w:rPr>
                <w:sz w:val="24"/>
                <w:szCs w:val="24"/>
              </w:rPr>
            </w:pPr>
            <w:r w:rsidRPr="00C50BA7">
              <w:rPr>
                <w:sz w:val="24"/>
                <w:szCs w:val="24"/>
              </w:rPr>
              <w:t>15</w:t>
            </w:r>
          </w:p>
        </w:tc>
        <w:tc>
          <w:tcPr>
            <w:tcW w:w="992" w:type="dxa"/>
          </w:tcPr>
          <w:p w:rsidR="0019413C" w:rsidRPr="00C50BA7" w:rsidRDefault="0019413C" w:rsidP="00B07213">
            <w:pPr>
              <w:jc w:val="center"/>
              <w:rPr>
                <w:sz w:val="24"/>
                <w:szCs w:val="24"/>
              </w:rPr>
            </w:pPr>
            <w:r w:rsidRPr="00C50BA7">
              <w:rPr>
                <w:sz w:val="24"/>
                <w:szCs w:val="24"/>
              </w:rPr>
              <w:t>15</w:t>
            </w:r>
          </w:p>
        </w:tc>
        <w:tc>
          <w:tcPr>
            <w:tcW w:w="993" w:type="dxa"/>
          </w:tcPr>
          <w:p w:rsidR="0019413C" w:rsidRPr="00C50BA7" w:rsidRDefault="0019413C" w:rsidP="00B07213">
            <w:pPr>
              <w:jc w:val="center"/>
              <w:rPr>
                <w:sz w:val="24"/>
                <w:szCs w:val="24"/>
              </w:rPr>
            </w:pPr>
            <w:r w:rsidRPr="00C50BA7">
              <w:rPr>
                <w:sz w:val="24"/>
                <w:szCs w:val="24"/>
              </w:rPr>
              <w:t>14</w:t>
            </w:r>
          </w:p>
        </w:tc>
        <w:tc>
          <w:tcPr>
            <w:tcW w:w="992" w:type="dxa"/>
          </w:tcPr>
          <w:p w:rsidR="0019413C" w:rsidRPr="00C50BA7" w:rsidRDefault="0019413C" w:rsidP="00B07213">
            <w:pPr>
              <w:jc w:val="center"/>
              <w:rPr>
                <w:sz w:val="24"/>
                <w:szCs w:val="24"/>
              </w:rPr>
            </w:pPr>
            <w:r w:rsidRPr="00C50BA7">
              <w:rPr>
                <w:sz w:val="24"/>
                <w:szCs w:val="24"/>
              </w:rPr>
              <w:t>13</w:t>
            </w:r>
          </w:p>
        </w:tc>
        <w:tc>
          <w:tcPr>
            <w:tcW w:w="1276" w:type="dxa"/>
          </w:tcPr>
          <w:p w:rsidR="0019413C" w:rsidRPr="003066DC" w:rsidRDefault="003066DC" w:rsidP="00B07213">
            <w:pPr>
              <w:jc w:val="center"/>
              <w:rPr>
                <w:sz w:val="24"/>
                <w:szCs w:val="24"/>
                <w:lang w:val="uk-UA"/>
              </w:rPr>
            </w:pPr>
            <w:r>
              <w:rPr>
                <w:sz w:val="24"/>
                <w:szCs w:val="24"/>
                <w:lang w:val="uk-UA"/>
              </w:rPr>
              <w:t>92,9</w:t>
            </w:r>
          </w:p>
        </w:tc>
      </w:tr>
      <w:tr w:rsidR="0019413C" w:rsidRPr="00C50BA7" w:rsidTr="00716FBF">
        <w:tc>
          <w:tcPr>
            <w:tcW w:w="3090" w:type="dxa"/>
          </w:tcPr>
          <w:p w:rsidR="0019413C" w:rsidRPr="00C50BA7" w:rsidRDefault="0019413C" w:rsidP="00B07213">
            <w:pPr>
              <w:rPr>
                <w:sz w:val="24"/>
                <w:szCs w:val="24"/>
              </w:rPr>
            </w:pPr>
            <w:r w:rsidRPr="00C50BA7">
              <w:rPr>
                <w:sz w:val="24"/>
                <w:szCs w:val="24"/>
              </w:rPr>
              <w:t>- кількість торгових місць</w:t>
            </w:r>
          </w:p>
        </w:tc>
        <w:tc>
          <w:tcPr>
            <w:tcW w:w="992" w:type="dxa"/>
          </w:tcPr>
          <w:p w:rsidR="0019413C" w:rsidRPr="00C50BA7" w:rsidRDefault="0019413C" w:rsidP="00B07213">
            <w:pPr>
              <w:jc w:val="center"/>
              <w:rPr>
                <w:sz w:val="24"/>
                <w:szCs w:val="24"/>
              </w:rPr>
            </w:pPr>
            <w:r w:rsidRPr="00C50BA7">
              <w:rPr>
                <w:sz w:val="24"/>
                <w:szCs w:val="24"/>
              </w:rPr>
              <w:t>од.</w:t>
            </w:r>
          </w:p>
        </w:tc>
        <w:tc>
          <w:tcPr>
            <w:tcW w:w="1134" w:type="dxa"/>
          </w:tcPr>
          <w:p w:rsidR="0019413C" w:rsidRPr="00C50BA7" w:rsidRDefault="0019413C" w:rsidP="00B07213">
            <w:pPr>
              <w:jc w:val="center"/>
              <w:rPr>
                <w:sz w:val="24"/>
                <w:szCs w:val="24"/>
              </w:rPr>
            </w:pPr>
            <w:r w:rsidRPr="00C50BA7">
              <w:rPr>
                <w:sz w:val="24"/>
                <w:szCs w:val="24"/>
              </w:rPr>
              <w:t>4899</w:t>
            </w:r>
          </w:p>
        </w:tc>
        <w:tc>
          <w:tcPr>
            <w:tcW w:w="992" w:type="dxa"/>
          </w:tcPr>
          <w:p w:rsidR="0019413C" w:rsidRPr="00C50BA7" w:rsidRDefault="0019413C" w:rsidP="00B07213">
            <w:pPr>
              <w:jc w:val="center"/>
              <w:rPr>
                <w:sz w:val="24"/>
                <w:szCs w:val="24"/>
              </w:rPr>
            </w:pPr>
            <w:r w:rsidRPr="00C50BA7">
              <w:rPr>
                <w:sz w:val="24"/>
                <w:szCs w:val="24"/>
              </w:rPr>
              <w:t>3799</w:t>
            </w:r>
          </w:p>
        </w:tc>
        <w:tc>
          <w:tcPr>
            <w:tcW w:w="993" w:type="dxa"/>
          </w:tcPr>
          <w:p w:rsidR="0019413C" w:rsidRPr="00C50BA7" w:rsidRDefault="0019413C" w:rsidP="00B07213">
            <w:pPr>
              <w:jc w:val="center"/>
              <w:rPr>
                <w:sz w:val="24"/>
                <w:szCs w:val="24"/>
              </w:rPr>
            </w:pPr>
            <w:r w:rsidRPr="00C50BA7">
              <w:rPr>
                <w:sz w:val="24"/>
                <w:szCs w:val="24"/>
              </w:rPr>
              <w:t>3612</w:t>
            </w:r>
          </w:p>
        </w:tc>
        <w:tc>
          <w:tcPr>
            <w:tcW w:w="992" w:type="dxa"/>
          </w:tcPr>
          <w:p w:rsidR="0019413C" w:rsidRPr="00C50BA7" w:rsidRDefault="0019413C" w:rsidP="00B07213">
            <w:pPr>
              <w:jc w:val="center"/>
              <w:rPr>
                <w:sz w:val="24"/>
                <w:szCs w:val="24"/>
              </w:rPr>
            </w:pPr>
            <w:r w:rsidRPr="00C50BA7">
              <w:rPr>
                <w:sz w:val="24"/>
                <w:szCs w:val="24"/>
              </w:rPr>
              <w:t>3577</w:t>
            </w:r>
          </w:p>
        </w:tc>
        <w:tc>
          <w:tcPr>
            <w:tcW w:w="1276" w:type="dxa"/>
          </w:tcPr>
          <w:p w:rsidR="0019413C" w:rsidRPr="003066DC" w:rsidRDefault="003066DC" w:rsidP="00B07213">
            <w:pPr>
              <w:jc w:val="center"/>
              <w:rPr>
                <w:sz w:val="24"/>
                <w:szCs w:val="24"/>
                <w:lang w:val="uk-UA"/>
              </w:rPr>
            </w:pPr>
            <w:r>
              <w:rPr>
                <w:sz w:val="24"/>
                <w:szCs w:val="24"/>
                <w:lang w:val="uk-UA"/>
              </w:rPr>
              <w:t>99,0</w:t>
            </w:r>
          </w:p>
        </w:tc>
      </w:tr>
    </w:tbl>
    <w:p w:rsidR="0019413C" w:rsidRDefault="0019413C" w:rsidP="0019413C">
      <w:pPr>
        <w:ind w:firstLine="567"/>
        <w:jc w:val="both"/>
      </w:pPr>
    </w:p>
    <w:p w:rsidR="0019413C" w:rsidRPr="00422E41" w:rsidRDefault="0019413C" w:rsidP="0019413C">
      <w:pPr>
        <w:ind w:firstLine="567"/>
        <w:jc w:val="both"/>
      </w:pPr>
      <w:r>
        <w:t>Впродовж</w:t>
      </w:r>
      <w:r w:rsidRPr="00422E41">
        <w:t xml:space="preserve"> 2019 р</w:t>
      </w:r>
      <w:r>
        <w:t>оку</w:t>
      </w:r>
      <w:r w:rsidRPr="00422E41">
        <w:t xml:space="preserve"> проводилась активна робота із суб’єктами господарювання м.Івано-Франківська, які здійснюють діяльність у сфері торгівлі та громадського харчування. Опрацьовано 529</w:t>
      </w:r>
      <w:r w:rsidRPr="00422E41">
        <w:rPr>
          <w:i/>
        </w:rPr>
        <w:t xml:space="preserve"> </w:t>
      </w:r>
      <w:r w:rsidRPr="00422E41">
        <w:t>заяв від суб’єктів господарської діяльності, які надійшли через Центр надання адміністративних послуг, забезпечено організацію та проведення 19 засідань комісії з організації сезонної торгівлі.</w:t>
      </w:r>
    </w:p>
    <w:p w:rsidR="0019413C" w:rsidRPr="00422E41" w:rsidRDefault="0019413C" w:rsidP="0019413C">
      <w:pPr>
        <w:ind w:firstLine="567"/>
        <w:jc w:val="both"/>
      </w:pPr>
      <w:r w:rsidRPr="00422E41">
        <w:lastRenderedPageBreak/>
        <w:t>На основі рекомендацій комісії з</w:t>
      </w:r>
      <w:r>
        <w:t>а звітний період підготовлено 23</w:t>
      </w:r>
      <w:r w:rsidRPr="00422E41">
        <w:rPr>
          <w:i/>
        </w:rPr>
        <w:t xml:space="preserve"> </w:t>
      </w:r>
      <w:r w:rsidRPr="00422E41">
        <w:t>розпорядження міського голови, 3</w:t>
      </w:r>
      <w:r>
        <w:t>8</w:t>
      </w:r>
      <w:r w:rsidRPr="00422E41">
        <w:t xml:space="preserve"> рішень виконавчого комітету міської ради, відповідно до яких надаються погодження на розміщення об’єктів дрібнороздрібної торгівлі, торгових майданчиків та проведення ярмаркових заходів.</w:t>
      </w:r>
    </w:p>
    <w:p w:rsidR="0019413C" w:rsidRDefault="0019413C" w:rsidP="0019413C">
      <w:pPr>
        <w:ind w:firstLine="720"/>
        <w:jc w:val="both"/>
        <w:rPr>
          <w:lang w:val="uk-UA"/>
        </w:rPr>
      </w:pPr>
      <w:r>
        <w:t>П</w:t>
      </w:r>
      <w:r w:rsidRPr="00422E41">
        <w:t>роводилось адміністрування договорів на право тимчасового користування елементами благоустрою для розміщення тимчасових споруд, літніх та всесезонних торгових майданчиків.</w:t>
      </w:r>
    </w:p>
    <w:p w:rsidR="009806AA" w:rsidRPr="009806AA" w:rsidRDefault="009806AA" w:rsidP="0019413C">
      <w:pPr>
        <w:ind w:firstLine="720"/>
        <w:jc w:val="both"/>
        <w:rPr>
          <w:lang w:val="uk-UA"/>
        </w:rPr>
      </w:pPr>
    </w:p>
    <w:p w:rsidR="0019413C" w:rsidRPr="009806AA" w:rsidRDefault="0019413C" w:rsidP="009806AA">
      <w:pPr>
        <w:jc w:val="center"/>
        <w:rPr>
          <w:rFonts w:eastAsia="Calibri"/>
          <w:i/>
          <w:sz w:val="24"/>
          <w:szCs w:val="24"/>
        </w:rPr>
      </w:pPr>
      <w:r w:rsidRPr="009806AA">
        <w:rPr>
          <w:rFonts w:eastAsia="Calibri"/>
          <w:i/>
          <w:sz w:val="24"/>
          <w:szCs w:val="24"/>
        </w:rPr>
        <w:t>Надходження коштів до міського бюджету за 2019 р.</w:t>
      </w:r>
    </w:p>
    <w:tbl>
      <w:tblPr>
        <w:tblStyle w:val="af6"/>
        <w:tblW w:w="0" w:type="auto"/>
        <w:tblInd w:w="108" w:type="dxa"/>
        <w:tblLayout w:type="fixed"/>
        <w:tblLook w:val="04A0" w:firstRow="1" w:lastRow="0" w:firstColumn="1" w:lastColumn="0" w:noHBand="0" w:noVBand="1"/>
      </w:tblPr>
      <w:tblGrid>
        <w:gridCol w:w="6521"/>
        <w:gridCol w:w="2835"/>
      </w:tblGrid>
      <w:tr w:rsidR="0019413C" w:rsidRPr="00356309" w:rsidTr="009806AA">
        <w:trPr>
          <w:trHeight w:val="58"/>
        </w:trPr>
        <w:tc>
          <w:tcPr>
            <w:tcW w:w="6521" w:type="dxa"/>
          </w:tcPr>
          <w:p w:rsidR="0019413C" w:rsidRPr="00356309" w:rsidRDefault="0019413C" w:rsidP="009806AA">
            <w:pPr>
              <w:jc w:val="center"/>
              <w:rPr>
                <w:rFonts w:eastAsia="Calibri"/>
                <w:sz w:val="24"/>
                <w:szCs w:val="24"/>
                <w:lang w:eastAsia="en-US"/>
              </w:rPr>
            </w:pPr>
            <w:r w:rsidRPr="00356309">
              <w:rPr>
                <w:rFonts w:eastAsia="Calibri"/>
                <w:sz w:val="24"/>
                <w:szCs w:val="24"/>
                <w:lang w:eastAsia="en-US"/>
              </w:rPr>
              <w:t>Назва об’єктів</w:t>
            </w:r>
          </w:p>
        </w:tc>
        <w:tc>
          <w:tcPr>
            <w:tcW w:w="2835" w:type="dxa"/>
          </w:tcPr>
          <w:p w:rsidR="0019413C" w:rsidRPr="00356309" w:rsidRDefault="0019413C" w:rsidP="009806AA">
            <w:pPr>
              <w:jc w:val="center"/>
              <w:rPr>
                <w:rFonts w:eastAsia="Calibri"/>
                <w:sz w:val="24"/>
                <w:szCs w:val="24"/>
                <w:lang w:eastAsia="en-US"/>
              </w:rPr>
            </w:pPr>
            <w:r w:rsidRPr="00356309">
              <w:rPr>
                <w:rFonts w:eastAsia="Calibri"/>
                <w:sz w:val="24"/>
                <w:szCs w:val="24"/>
                <w:lang w:eastAsia="en-US"/>
              </w:rPr>
              <w:t>тис.грн</w:t>
            </w:r>
          </w:p>
        </w:tc>
      </w:tr>
      <w:tr w:rsidR="0019413C" w:rsidRPr="00356309" w:rsidTr="009806AA">
        <w:tc>
          <w:tcPr>
            <w:tcW w:w="6521" w:type="dxa"/>
          </w:tcPr>
          <w:p w:rsidR="0019413C" w:rsidRPr="00356309" w:rsidRDefault="0019413C" w:rsidP="00B07213">
            <w:pPr>
              <w:jc w:val="both"/>
              <w:rPr>
                <w:rFonts w:eastAsia="Calibri"/>
                <w:sz w:val="24"/>
                <w:szCs w:val="24"/>
                <w:lang w:eastAsia="en-US"/>
              </w:rPr>
            </w:pPr>
            <w:r w:rsidRPr="00356309">
              <w:rPr>
                <w:rFonts w:eastAsia="Calibri"/>
                <w:sz w:val="24"/>
                <w:szCs w:val="24"/>
                <w:lang w:eastAsia="en-US"/>
              </w:rPr>
              <w:t xml:space="preserve">Торгові майданчики </w:t>
            </w:r>
            <w:proofErr w:type="gramStart"/>
            <w:r w:rsidRPr="00356309">
              <w:rPr>
                <w:rFonts w:eastAsia="Calibri"/>
                <w:sz w:val="24"/>
                <w:szCs w:val="24"/>
                <w:lang w:eastAsia="en-US"/>
              </w:rPr>
              <w:t>( ЛТМ</w:t>
            </w:r>
            <w:proofErr w:type="gramEnd"/>
            <w:r w:rsidRPr="00356309">
              <w:rPr>
                <w:rFonts w:eastAsia="Calibri"/>
                <w:sz w:val="24"/>
                <w:szCs w:val="24"/>
                <w:lang w:eastAsia="en-US"/>
              </w:rPr>
              <w:t xml:space="preserve"> і ВТМ)</w:t>
            </w:r>
          </w:p>
        </w:tc>
        <w:tc>
          <w:tcPr>
            <w:tcW w:w="2835" w:type="dxa"/>
          </w:tcPr>
          <w:p w:rsidR="0019413C" w:rsidRPr="00356309" w:rsidRDefault="0019413C" w:rsidP="00B07213">
            <w:pPr>
              <w:jc w:val="center"/>
              <w:rPr>
                <w:rFonts w:eastAsia="Calibri"/>
                <w:sz w:val="24"/>
                <w:szCs w:val="24"/>
                <w:lang w:eastAsia="en-US"/>
              </w:rPr>
            </w:pPr>
            <w:r w:rsidRPr="00356309">
              <w:rPr>
                <w:rFonts w:eastAsia="Calibri"/>
                <w:sz w:val="24"/>
                <w:szCs w:val="24"/>
                <w:lang w:eastAsia="en-US"/>
              </w:rPr>
              <w:t>1 410,35</w:t>
            </w:r>
          </w:p>
        </w:tc>
      </w:tr>
      <w:tr w:rsidR="0019413C" w:rsidRPr="00356309" w:rsidTr="009806AA">
        <w:tc>
          <w:tcPr>
            <w:tcW w:w="6521" w:type="dxa"/>
          </w:tcPr>
          <w:p w:rsidR="0019413C" w:rsidRPr="00356309" w:rsidRDefault="0019413C" w:rsidP="00B07213">
            <w:pPr>
              <w:jc w:val="both"/>
              <w:rPr>
                <w:rFonts w:eastAsia="Calibri"/>
                <w:sz w:val="24"/>
                <w:szCs w:val="24"/>
                <w:lang w:eastAsia="en-US"/>
              </w:rPr>
            </w:pPr>
            <w:r w:rsidRPr="00356309">
              <w:rPr>
                <w:rFonts w:eastAsia="Calibri"/>
                <w:sz w:val="24"/>
                <w:szCs w:val="24"/>
                <w:lang w:eastAsia="en-US"/>
              </w:rPr>
              <w:t xml:space="preserve">Дрібнороздрібна торгівля </w:t>
            </w:r>
          </w:p>
        </w:tc>
        <w:tc>
          <w:tcPr>
            <w:tcW w:w="2835" w:type="dxa"/>
          </w:tcPr>
          <w:p w:rsidR="0019413C" w:rsidRPr="00356309" w:rsidRDefault="0019413C" w:rsidP="00B07213">
            <w:pPr>
              <w:jc w:val="center"/>
              <w:rPr>
                <w:rFonts w:eastAsia="Calibri"/>
                <w:sz w:val="24"/>
                <w:szCs w:val="24"/>
                <w:lang w:eastAsia="en-US"/>
              </w:rPr>
            </w:pPr>
            <w:r w:rsidRPr="00356309">
              <w:rPr>
                <w:rFonts w:eastAsia="Calibri"/>
                <w:sz w:val="24"/>
                <w:szCs w:val="24"/>
                <w:lang w:eastAsia="en-US"/>
              </w:rPr>
              <w:t>902,45</w:t>
            </w:r>
          </w:p>
        </w:tc>
      </w:tr>
      <w:tr w:rsidR="0019413C" w:rsidRPr="00356309" w:rsidTr="009806AA">
        <w:tc>
          <w:tcPr>
            <w:tcW w:w="6521" w:type="dxa"/>
          </w:tcPr>
          <w:p w:rsidR="0019413C" w:rsidRPr="00356309" w:rsidRDefault="0019413C" w:rsidP="00B07213">
            <w:pPr>
              <w:jc w:val="both"/>
              <w:rPr>
                <w:rFonts w:eastAsia="Calibri"/>
                <w:sz w:val="24"/>
                <w:szCs w:val="24"/>
                <w:lang w:eastAsia="en-US"/>
              </w:rPr>
            </w:pPr>
            <w:r w:rsidRPr="00356309">
              <w:rPr>
                <w:rFonts w:eastAsia="Calibri"/>
                <w:sz w:val="24"/>
                <w:szCs w:val="24"/>
                <w:lang w:eastAsia="en-US"/>
              </w:rPr>
              <w:t xml:space="preserve">Тимчасові споруди </w:t>
            </w:r>
            <w:proofErr w:type="gramStart"/>
            <w:r w:rsidRPr="00356309">
              <w:rPr>
                <w:rFonts w:eastAsia="Calibri"/>
                <w:sz w:val="24"/>
                <w:szCs w:val="24"/>
                <w:lang w:eastAsia="en-US"/>
              </w:rPr>
              <w:t>( в</w:t>
            </w:r>
            <w:proofErr w:type="gramEnd"/>
            <w:r w:rsidRPr="00356309">
              <w:rPr>
                <w:rFonts w:eastAsia="Calibri"/>
                <w:sz w:val="24"/>
                <w:szCs w:val="24"/>
                <w:lang w:eastAsia="en-US"/>
              </w:rPr>
              <w:t xml:space="preserve"> т.ч. стаціонарні атракціони)</w:t>
            </w:r>
          </w:p>
        </w:tc>
        <w:tc>
          <w:tcPr>
            <w:tcW w:w="2835" w:type="dxa"/>
          </w:tcPr>
          <w:p w:rsidR="0019413C" w:rsidRPr="00356309" w:rsidRDefault="0019413C" w:rsidP="00B07213">
            <w:pPr>
              <w:jc w:val="center"/>
              <w:rPr>
                <w:rFonts w:eastAsia="Calibri"/>
                <w:sz w:val="24"/>
                <w:szCs w:val="24"/>
                <w:lang w:eastAsia="en-US"/>
              </w:rPr>
            </w:pPr>
            <w:r w:rsidRPr="00356309">
              <w:rPr>
                <w:rFonts w:eastAsia="Calibri"/>
                <w:sz w:val="24"/>
                <w:szCs w:val="24"/>
                <w:lang w:eastAsia="en-US"/>
              </w:rPr>
              <w:t>2 441,2</w:t>
            </w:r>
          </w:p>
        </w:tc>
      </w:tr>
      <w:tr w:rsidR="0019413C" w:rsidRPr="00356309" w:rsidTr="009806AA">
        <w:trPr>
          <w:trHeight w:val="300"/>
        </w:trPr>
        <w:tc>
          <w:tcPr>
            <w:tcW w:w="6521" w:type="dxa"/>
          </w:tcPr>
          <w:p w:rsidR="0019413C" w:rsidRPr="00356309" w:rsidRDefault="0019413C" w:rsidP="00B07213">
            <w:pPr>
              <w:jc w:val="both"/>
              <w:rPr>
                <w:rFonts w:eastAsia="Calibri"/>
                <w:sz w:val="24"/>
                <w:szCs w:val="24"/>
                <w:lang w:eastAsia="en-US"/>
              </w:rPr>
            </w:pPr>
            <w:r w:rsidRPr="00356309">
              <w:rPr>
                <w:rFonts w:eastAsia="Calibri"/>
                <w:sz w:val="24"/>
                <w:szCs w:val="24"/>
                <w:lang w:eastAsia="en-US"/>
              </w:rPr>
              <w:t>Всього</w:t>
            </w:r>
          </w:p>
        </w:tc>
        <w:tc>
          <w:tcPr>
            <w:tcW w:w="2835" w:type="dxa"/>
          </w:tcPr>
          <w:p w:rsidR="0019413C" w:rsidRPr="00356309" w:rsidRDefault="0019413C" w:rsidP="00B07213">
            <w:pPr>
              <w:jc w:val="center"/>
              <w:rPr>
                <w:rFonts w:eastAsia="Calibri"/>
                <w:sz w:val="24"/>
                <w:szCs w:val="24"/>
                <w:lang w:eastAsia="en-US"/>
              </w:rPr>
            </w:pPr>
            <w:r w:rsidRPr="00356309">
              <w:rPr>
                <w:rFonts w:eastAsia="Calibri"/>
                <w:sz w:val="24"/>
                <w:szCs w:val="24"/>
                <w:lang w:eastAsia="en-US"/>
              </w:rPr>
              <w:t>4 754,0</w:t>
            </w:r>
          </w:p>
        </w:tc>
      </w:tr>
    </w:tbl>
    <w:p w:rsidR="00BB1AF1" w:rsidRDefault="0019413C" w:rsidP="00E65C6A">
      <w:pPr>
        <w:jc w:val="both"/>
        <w:rPr>
          <w:lang w:val="uk-UA"/>
        </w:rPr>
      </w:pPr>
      <w:r w:rsidRPr="00422E41">
        <w:tab/>
      </w:r>
    </w:p>
    <w:p w:rsidR="0019413C" w:rsidRPr="00422E41" w:rsidRDefault="0019413C" w:rsidP="00BB1AF1">
      <w:pPr>
        <w:ind w:firstLine="708"/>
        <w:jc w:val="both"/>
        <w:rPr>
          <w:rFonts w:eastAsia="Calibri"/>
          <w:lang w:eastAsia="uk-UA"/>
        </w:rPr>
      </w:pPr>
      <w:r w:rsidRPr="00422E41">
        <w:rPr>
          <w:lang w:eastAsia="uk-UA"/>
        </w:rPr>
        <w:t xml:space="preserve">Впродовж звітного періоду на виконання розпорядження міського </w:t>
      </w:r>
      <w:proofErr w:type="gramStart"/>
      <w:r w:rsidRPr="00422E41">
        <w:rPr>
          <w:lang w:eastAsia="uk-UA"/>
        </w:rPr>
        <w:t>голови  від</w:t>
      </w:r>
      <w:proofErr w:type="gramEnd"/>
      <w:r w:rsidRPr="00422E41">
        <w:rPr>
          <w:lang w:eastAsia="uk-UA"/>
        </w:rPr>
        <w:t xml:space="preserve"> 11.11.2016р.  №761-р "Про створення робочої </w:t>
      </w:r>
      <w:proofErr w:type="gramStart"/>
      <w:r w:rsidRPr="00422E41">
        <w:rPr>
          <w:lang w:eastAsia="uk-UA"/>
        </w:rPr>
        <w:t>групи  з</w:t>
      </w:r>
      <w:proofErr w:type="gramEnd"/>
      <w:r w:rsidRPr="00422E41">
        <w:rPr>
          <w:lang w:eastAsia="uk-UA"/>
        </w:rPr>
        <w:t xml:space="preserve"> моніторингу закладів торгівлі міста щодо реалізації підакцизних товарів" здійснено </w:t>
      </w:r>
      <w:r w:rsidRPr="0056500D">
        <w:rPr>
          <w:lang w:eastAsia="uk-UA"/>
        </w:rPr>
        <w:t>моніторинг 394</w:t>
      </w:r>
      <w:r w:rsidRPr="0056500D">
        <w:rPr>
          <w:rFonts w:eastAsia="Calibri"/>
          <w:lang w:eastAsia="uk-UA"/>
        </w:rPr>
        <w:t xml:space="preserve"> закладів торгівлі щодо реалізації  підакцизних товарів. Одночасно із продавцями торгових закладів проводилось </w:t>
      </w:r>
      <w:proofErr w:type="gramStart"/>
      <w:r w:rsidRPr="0056500D">
        <w:rPr>
          <w:rFonts w:eastAsia="Calibri"/>
          <w:lang w:eastAsia="uk-UA"/>
        </w:rPr>
        <w:t>роз’яснення  щодо</w:t>
      </w:r>
      <w:proofErr w:type="gramEnd"/>
      <w:r w:rsidRPr="0056500D">
        <w:rPr>
          <w:rFonts w:eastAsia="Calibri"/>
          <w:lang w:eastAsia="uk-UA"/>
        </w:rPr>
        <w:t xml:space="preserve">  дотримання чинного законодавства під  час реалізації акцизних товарів. Головним управлінням ДФС в Івано-Франківській області на основі отриманої інформації про невидачу фіскальних чеків під час реалізації алкогольної і тютюнової продукції та відповідну мінімізацію сплати акцизного податку проведено фактичні </w:t>
      </w:r>
      <w:proofErr w:type="gramStart"/>
      <w:r w:rsidRPr="0056500D">
        <w:rPr>
          <w:rFonts w:eastAsia="Calibri"/>
          <w:lang w:eastAsia="uk-UA"/>
        </w:rPr>
        <w:t>перевірки  закладів</w:t>
      </w:r>
      <w:proofErr w:type="gramEnd"/>
      <w:r w:rsidRPr="0056500D">
        <w:rPr>
          <w:rFonts w:eastAsia="Calibri"/>
          <w:lang w:eastAsia="uk-UA"/>
        </w:rPr>
        <w:t xml:space="preserve"> торгівлі, закладів ресторанного господарства та до 17 суб’єктів господарювання застосовано штрафних (фінансових) санкцій на загальну суму 143,1 тис.грн.</w:t>
      </w:r>
    </w:p>
    <w:p w:rsidR="0019413C" w:rsidRPr="00422E41" w:rsidRDefault="0019413C" w:rsidP="0019413C">
      <w:pPr>
        <w:ind w:firstLine="720"/>
        <w:jc w:val="both"/>
      </w:pPr>
      <w:r w:rsidRPr="005B063C">
        <w:rPr>
          <w:lang w:val="uk-UA"/>
        </w:rPr>
        <w:t>Керуючись Законом України "Про основні принципи та вимоги до безпечності та якості харчових продуктів"  та на виконання розпорядження міського голови від 02.08.2017р. № 454-р "Про створення робочої групи з питань обстеження та надання  консультативної допомоги закладам громадського харчування" протягом 2019 року (згідно з затвердженим графіком) взято участь в обстеженні 37 закладів ресторанного господарства та проведено інформаційно-роз’яснювальну роботу щодо забезпечення  санітарного та епідеміологічного благополуччя мешканців та гостей міста</w:t>
      </w:r>
      <w:r w:rsidRPr="00422E41">
        <w:t>.</w:t>
      </w:r>
      <w:r w:rsidRPr="00422E41">
        <w:rPr>
          <w:color w:val="FF0000"/>
        </w:rPr>
        <w:t xml:space="preserve"> </w:t>
      </w:r>
    </w:p>
    <w:p w:rsidR="0019413C" w:rsidRPr="00422E41" w:rsidRDefault="0019413C" w:rsidP="0019413C">
      <w:pPr>
        <w:ind w:firstLine="708"/>
        <w:jc w:val="both"/>
      </w:pPr>
      <w:r w:rsidRPr="00422E41">
        <w:t>Протягом 2019 р</w:t>
      </w:r>
      <w:r w:rsidR="00EB72D9">
        <w:rPr>
          <w:lang w:val="uk-UA"/>
        </w:rPr>
        <w:t>оку</w:t>
      </w:r>
      <w:r w:rsidRPr="00422E41">
        <w:t xml:space="preserve"> щодекадно проводився аналіз цін на основні продовольчі товари на ринках та </w:t>
      </w:r>
      <w:proofErr w:type="gramStart"/>
      <w:r w:rsidRPr="00422E41">
        <w:t>у закладах</w:t>
      </w:r>
      <w:proofErr w:type="gramEnd"/>
      <w:r w:rsidRPr="00422E41">
        <w:t xml:space="preserve"> торгівлі міста. За результатами моніторингу подавались довідки-реєстри цін на основні продукти харчування в ОДА та використовувались бюджетними організаціями для закупівлі продуктів харчування, а також постійно розміщувалися на офіційному сайті міста. </w:t>
      </w:r>
    </w:p>
    <w:p w:rsidR="007B5FC8" w:rsidRPr="00E65C6A" w:rsidRDefault="007B5FC8" w:rsidP="007B5FC8">
      <w:pPr>
        <w:jc w:val="both"/>
        <w:rPr>
          <w:lang w:val="uk-UA"/>
        </w:rPr>
      </w:pPr>
      <w:r w:rsidRPr="00E65C6A">
        <w:rPr>
          <w:lang w:val="uk-UA"/>
        </w:rPr>
        <w:tab/>
        <w:t xml:space="preserve">На офіційному сайті міста створено додатково розділ  "Захист прав споживачів", в якому  висвітлюється актуальна інформація щодо захисту прав споживачів.   </w:t>
      </w:r>
    </w:p>
    <w:p w:rsidR="007B5FC8" w:rsidRPr="007B5FC8" w:rsidRDefault="007B5FC8" w:rsidP="007B5FC8">
      <w:pPr>
        <w:pStyle w:val="a3"/>
        <w:tabs>
          <w:tab w:val="left" w:pos="0"/>
          <w:tab w:val="left" w:pos="7230"/>
          <w:tab w:val="left" w:pos="7797"/>
          <w:tab w:val="left" w:pos="7938"/>
          <w:tab w:val="left" w:pos="8364"/>
        </w:tabs>
        <w:ind w:firstLine="851"/>
        <w:outlineLvl w:val="0"/>
        <w:rPr>
          <w:i/>
          <w:sz w:val="28"/>
          <w:szCs w:val="28"/>
          <w:highlight w:val="yellow"/>
          <w:lang w:val="uk-UA"/>
        </w:rPr>
      </w:pPr>
    </w:p>
    <w:p w:rsidR="007B5FC8" w:rsidRPr="00CA180C" w:rsidRDefault="007B5FC8" w:rsidP="007B5FC8">
      <w:pPr>
        <w:pStyle w:val="a3"/>
        <w:tabs>
          <w:tab w:val="left" w:pos="0"/>
          <w:tab w:val="left" w:pos="7230"/>
          <w:tab w:val="left" w:pos="7797"/>
          <w:tab w:val="left" w:pos="7938"/>
          <w:tab w:val="left" w:pos="8364"/>
        </w:tabs>
        <w:ind w:firstLine="851"/>
        <w:outlineLvl w:val="0"/>
        <w:rPr>
          <w:i/>
          <w:sz w:val="28"/>
          <w:szCs w:val="28"/>
          <w:lang w:val="uk-UA"/>
        </w:rPr>
      </w:pPr>
      <w:r w:rsidRPr="00CA180C">
        <w:rPr>
          <w:i/>
          <w:sz w:val="28"/>
          <w:szCs w:val="28"/>
          <w:lang w:val="uk-UA"/>
        </w:rPr>
        <w:lastRenderedPageBreak/>
        <w:t>3.3 Регуляторна політика та розвиток підприємництва</w:t>
      </w:r>
    </w:p>
    <w:p w:rsidR="00CA180C" w:rsidRPr="00CD09CF" w:rsidRDefault="007B5FC8" w:rsidP="00CA180C">
      <w:pPr>
        <w:ind w:firstLine="709"/>
        <w:jc w:val="both"/>
        <w:rPr>
          <w:bCs/>
          <w:lang w:val="uk-UA"/>
        </w:rPr>
      </w:pPr>
      <w:r w:rsidRPr="00CD09CF">
        <w:rPr>
          <w:bCs/>
          <w:lang w:val="uk-UA"/>
        </w:rPr>
        <w:t>На  підставі  Планів  з  підготовк</w:t>
      </w:r>
      <w:r w:rsidR="00CA180C" w:rsidRPr="00CD09CF">
        <w:rPr>
          <w:bCs/>
          <w:lang w:val="uk-UA"/>
        </w:rPr>
        <w:t>и  регуляторних  актів  на  2019</w:t>
      </w:r>
      <w:r w:rsidRPr="00CD09CF">
        <w:rPr>
          <w:bCs/>
          <w:lang w:val="uk-UA"/>
        </w:rPr>
        <w:t xml:space="preserve"> рік забезпечено належну підготовку структурними підрозділами міської ради, її виконавчого комітету </w:t>
      </w:r>
      <w:r w:rsidR="00CA180C" w:rsidRPr="00CD09CF">
        <w:rPr>
          <w:bCs/>
          <w:lang w:val="uk-UA"/>
        </w:rPr>
        <w:t xml:space="preserve">11 проєктів регуляторних актів, проведено 11 відкритих громадських обговорень, 2 регуляторні акти перебувають на стадії розробки. </w:t>
      </w:r>
    </w:p>
    <w:p w:rsidR="00CA180C" w:rsidRPr="00CD09CF" w:rsidRDefault="00CA180C" w:rsidP="00CA180C">
      <w:pPr>
        <w:ind w:firstLine="709"/>
        <w:jc w:val="both"/>
        <w:rPr>
          <w:bCs/>
        </w:rPr>
      </w:pPr>
      <w:r w:rsidRPr="00CD09CF">
        <w:rPr>
          <w:bCs/>
        </w:rPr>
        <w:t xml:space="preserve">Відповідно до плану-графіку проведено відстеження результативності регуляторних актів у 2019 році. З метою оцінки стану впровадження регуляторних актів та досягнення ними цілей, задекларованих при їх прийнятті, було здійснено 45 відстежень результативності регуляторних актів, з них 12 – базові, 33 – повторні. </w:t>
      </w:r>
    </w:p>
    <w:p w:rsidR="00CA180C" w:rsidRPr="00CD09CF" w:rsidRDefault="00CA180C" w:rsidP="00CA180C">
      <w:pPr>
        <w:ind w:firstLine="709"/>
        <w:jc w:val="both"/>
        <w:rPr>
          <w:bCs/>
        </w:rPr>
      </w:pPr>
      <w:r w:rsidRPr="00CD09CF">
        <w:rPr>
          <w:bCs/>
        </w:rPr>
        <w:t xml:space="preserve">Інформація про здійснення покрокових заходів згідно з процедурою розгляду та прийняття регуляторного акту, а саме: зміни до Плану, повідомлення про оприлюднення проєктів регуляторних актів, а також проєкти регуляторних актів, аналізи регуляторного впливу регуляторних актів, звіти про відстеження результативності регуляторних актів, інформація про здійснення регуляторної діяльності оприлюднювалася на офіційній сторінці виконавчого комітету міської ради в мережі Інтернет та в газеті "Західний кур’єр". </w:t>
      </w:r>
    </w:p>
    <w:p w:rsidR="007B5FC8" w:rsidRDefault="007B5FC8" w:rsidP="007B5FC8">
      <w:pPr>
        <w:ind w:left="57" w:firstLine="570"/>
        <w:jc w:val="both"/>
        <w:rPr>
          <w:bCs/>
          <w:lang w:val="uk-UA"/>
        </w:rPr>
      </w:pPr>
      <w:r w:rsidRPr="00CD09CF">
        <w:rPr>
          <w:bCs/>
          <w:lang w:val="uk-UA"/>
        </w:rPr>
        <w:t>Погодження проектів регуляторних актів – рішень міської ради здійснено в Державній регуляторній службі України.</w:t>
      </w:r>
    </w:p>
    <w:p w:rsidR="00CD09CF" w:rsidRPr="00CD09CF" w:rsidRDefault="00CD09CF" w:rsidP="00CD09CF">
      <w:pPr>
        <w:ind w:firstLine="627"/>
        <w:jc w:val="both"/>
        <w:rPr>
          <w:rFonts w:eastAsia="Times New Roman"/>
          <w:lang w:eastAsia="ru-RU"/>
        </w:rPr>
      </w:pPr>
      <w:r w:rsidRPr="00CD09CF">
        <w:rPr>
          <w:rFonts w:eastAsia="Times New Roman"/>
          <w:lang w:eastAsia="ru-RU"/>
        </w:rPr>
        <w:t>На виконання розпорядження міського голови від 10.01.2019р.  № 16-р "Про створення робочої групи з питань перегляду регуляторних актів" зібрано 27 пропозицій структурних підрозділів щодо перегляду регуляторних актів. За результатами засідання робочої групи 25.04.2019р. встановлено втрату чинності 13-ти регуляторних актів. Відділом програмного та комп’ютерного забезпечення внесено відповідну інформацію на сайті у розділ "нормативні акти міста Івано-Франківська" http://www.namvk.if.ua. В свою чергу, структурними підрозділами – розробниками регуляторних актів вносяться необхідні зміни до 14 регуляторних актів, що були розглянуті на засіданні робочої групи.</w:t>
      </w:r>
    </w:p>
    <w:p w:rsidR="00CD09CF" w:rsidRPr="00CD09CF" w:rsidRDefault="00CD09CF" w:rsidP="00CD09CF">
      <w:pPr>
        <w:ind w:firstLine="627"/>
        <w:jc w:val="both"/>
        <w:rPr>
          <w:rFonts w:eastAsia="Times New Roman"/>
          <w:lang w:eastAsia="ru-RU"/>
        </w:rPr>
      </w:pPr>
      <w:r w:rsidRPr="00CD09CF">
        <w:rPr>
          <w:rFonts w:eastAsia="Times New Roman"/>
          <w:lang w:eastAsia="ru-RU"/>
        </w:rPr>
        <w:t>За підтримки управління економічного та інтеграційного розвитку Центром міжнародного приватного підприємництва (СІРЕ) 16 квітня 2019 року проведено тренінг на тему "Методологія і практика проведення Тесту малого підприємництва (М-тест)" для розробників регуляторних актів – працівників структурних підрозділів виконавчого комітету Івано-Франківської міської ради, ОДА та громадських організацій.</w:t>
      </w:r>
      <w:r w:rsidRPr="00CD09CF">
        <w:rPr>
          <w:rFonts w:eastAsia="Times New Roman"/>
          <w:lang w:val="uk-UA" w:eastAsia="ru-RU"/>
        </w:rPr>
        <w:t xml:space="preserve"> </w:t>
      </w:r>
      <w:r w:rsidRPr="00CD09CF">
        <w:rPr>
          <w:rFonts w:eastAsia="Times New Roman"/>
          <w:lang w:eastAsia="ru-RU"/>
        </w:rPr>
        <w:t>За результатами практичних занять учасники отримали сертифікати від міжнародного приватного підприємництва (СІРЕ).</w:t>
      </w:r>
    </w:p>
    <w:p w:rsidR="0095431F" w:rsidRPr="0095431F" w:rsidRDefault="0095431F" w:rsidP="0095431F">
      <w:pPr>
        <w:shd w:val="clear" w:color="auto" w:fill="FFFFFF"/>
        <w:ind w:firstLine="708"/>
        <w:jc w:val="both"/>
        <w:outlineLvl w:val="0"/>
      </w:pPr>
      <w:r w:rsidRPr="0095431F">
        <w:t>Івано-Франківськ – місто, де створено сприятливі умови для розвитку бізнесу.</w:t>
      </w:r>
      <w:r w:rsidR="00FC6FE4">
        <w:rPr>
          <w:lang w:val="uk-UA"/>
        </w:rPr>
        <w:t xml:space="preserve"> </w:t>
      </w:r>
      <w:r w:rsidRPr="0095431F">
        <w:t xml:space="preserve">У </w:t>
      </w:r>
      <w:r w:rsidR="00FC6FE4">
        <w:rPr>
          <w:lang w:val="uk-UA"/>
        </w:rPr>
        <w:t>місті</w:t>
      </w:r>
      <w:r w:rsidRPr="0095431F">
        <w:t xml:space="preserve"> здійснює свою діяльність 3891 економічно активне підприємство, що на 332 одиниці більше, ніж у попередньому році. Частка у загальній кількості підприємств: великих підприємств – 0,1%, середніх - 3,5%, малих - 96,4%, у т.ч. мікропідприємств – 85,5%.</w:t>
      </w:r>
    </w:p>
    <w:p w:rsidR="0095431F" w:rsidRPr="00DD2FB5" w:rsidRDefault="0095431F" w:rsidP="0095431F">
      <w:pPr>
        <w:ind w:firstLine="627"/>
        <w:jc w:val="both"/>
        <w:rPr>
          <w:rFonts w:eastAsia="Times New Roman"/>
          <w:lang w:eastAsia="ru-RU"/>
        </w:rPr>
      </w:pPr>
      <w:r w:rsidRPr="0095431F">
        <w:rPr>
          <w:rFonts w:eastAsia="Times New Roman"/>
          <w:lang w:eastAsia="ru-RU"/>
        </w:rPr>
        <w:t>Станом</w:t>
      </w:r>
      <w:r w:rsidRPr="00DD2FB5">
        <w:rPr>
          <w:rFonts w:eastAsia="Times New Roman"/>
          <w:lang w:eastAsia="ru-RU"/>
        </w:rPr>
        <w:t xml:space="preserve"> </w:t>
      </w:r>
      <w:r w:rsidRPr="0095431F">
        <w:rPr>
          <w:rFonts w:eastAsia="Times New Roman"/>
          <w:lang w:eastAsia="ru-RU"/>
        </w:rPr>
        <w:t>на</w:t>
      </w:r>
      <w:r w:rsidRPr="00DD2FB5">
        <w:rPr>
          <w:rFonts w:eastAsia="Times New Roman"/>
          <w:lang w:eastAsia="ru-RU"/>
        </w:rPr>
        <w:t xml:space="preserve"> 01.01.2020</w:t>
      </w:r>
      <w:r w:rsidRPr="0095431F">
        <w:rPr>
          <w:rFonts w:eastAsia="Times New Roman"/>
          <w:lang w:eastAsia="ru-RU"/>
        </w:rPr>
        <w:t>р</w:t>
      </w:r>
      <w:r w:rsidRPr="00DD2FB5">
        <w:rPr>
          <w:rFonts w:eastAsia="Times New Roman"/>
          <w:lang w:eastAsia="ru-RU"/>
        </w:rPr>
        <w:t xml:space="preserve">. </w:t>
      </w:r>
      <w:r w:rsidRPr="0095431F">
        <w:rPr>
          <w:rFonts w:eastAsia="Times New Roman"/>
          <w:lang w:eastAsia="ru-RU"/>
        </w:rPr>
        <w:t>на</w:t>
      </w:r>
      <w:r w:rsidRPr="00DD2FB5">
        <w:rPr>
          <w:rFonts w:eastAsia="Times New Roman"/>
          <w:lang w:eastAsia="ru-RU"/>
        </w:rPr>
        <w:t xml:space="preserve"> </w:t>
      </w:r>
      <w:r w:rsidRPr="0095431F">
        <w:rPr>
          <w:rFonts w:eastAsia="Times New Roman"/>
          <w:lang w:eastAsia="ru-RU"/>
        </w:rPr>
        <w:t>території</w:t>
      </w:r>
      <w:r w:rsidRPr="00DD2FB5">
        <w:rPr>
          <w:rFonts w:eastAsia="Times New Roman"/>
          <w:lang w:eastAsia="ru-RU"/>
        </w:rPr>
        <w:t xml:space="preserve"> </w:t>
      </w:r>
      <w:r w:rsidRPr="0095431F">
        <w:rPr>
          <w:rFonts w:eastAsia="Times New Roman"/>
          <w:lang w:eastAsia="ru-RU"/>
        </w:rPr>
        <w:t>Івано</w:t>
      </w:r>
      <w:r w:rsidRPr="00DD2FB5">
        <w:rPr>
          <w:rFonts w:eastAsia="Times New Roman"/>
          <w:lang w:eastAsia="ru-RU"/>
        </w:rPr>
        <w:t>-</w:t>
      </w:r>
      <w:r w:rsidRPr="0095431F">
        <w:rPr>
          <w:rFonts w:eastAsia="Times New Roman"/>
          <w:lang w:eastAsia="ru-RU"/>
        </w:rPr>
        <w:t>Франківська</w:t>
      </w:r>
      <w:r w:rsidRPr="00DD2FB5">
        <w:rPr>
          <w:rFonts w:eastAsia="Times New Roman"/>
          <w:lang w:eastAsia="ru-RU"/>
        </w:rPr>
        <w:t xml:space="preserve"> </w:t>
      </w:r>
      <w:r w:rsidRPr="0095431F">
        <w:rPr>
          <w:rFonts w:eastAsia="Times New Roman"/>
          <w:lang w:eastAsia="ru-RU"/>
        </w:rPr>
        <w:t>зареєстровано</w:t>
      </w:r>
      <w:r w:rsidRPr="00DD2FB5">
        <w:rPr>
          <w:rFonts w:eastAsia="Times New Roman"/>
          <w:lang w:eastAsia="ru-RU"/>
        </w:rPr>
        <w:t xml:space="preserve"> 27236 </w:t>
      </w:r>
      <w:r w:rsidRPr="0095431F">
        <w:rPr>
          <w:rFonts w:eastAsia="Times New Roman"/>
          <w:lang w:eastAsia="ru-RU"/>
        </w:rPr>
        <w:t>суб</w:t>
      </w:r>
      <w:r w:rsidRPr="00DD2FB5">
        <w:rPr>
          <w:rFonts w:eastAsia="Times New Roman"/>
          <w:lang w:eastAsia="ru-RU"/>
        </w:rPr>
        <w:t>’</w:t>
      </w:r>
      <w:r w:rsidRPr="0095431F">
        <w:rPr>
          <w:rFonts w:eastAsia="Times New Roman"/>
          <w:lang w:eastAsia="ru-RU"/>
        </w:rPr>
        <w:t>єктів</w:t>
      </w:r>
      <w:r w:rsidRPr="00DD2FB5">
        <w:rPr>
          <w:rFonts w:eastAsia="Times New Roman"/>
          <w:lang w:eastAsia="ru-RU"/>
        </w:rPr>
        <w:t xml:space="preserve"> </w:t>
      </w:r>
      <w:r w:rsidRPr="0095431F">
        <w:rPr>
          <w:rFonts w:eastAsia="Times New Roman"/>
          <w:lang w:eastAsia="ru-RU"/>
        </w:rPr>
        <w:t>підприємницької</w:t>
      </w:r>
      <w:r w:rsidRPr="00DD2FB5">
        <w:rPr>
          <w:rFonts w:eastAsia="Times New Roman"/>
          <w:lang w:eastAsia="ru-RU"/>
        </w:rPr>
        <w:t xml:space="preserve"> </w:t>
      </w:r>
      <w:r w:rsidRPr="0095431F">
        <w:rPr>
          <w:rFonts w:eastAsia="Times New Roman"/>
          <w:lang w:eastAsia="ru-RU"/>
        </w:rPr>
        <w:t>діяльності</w:t>
      </w:r>
      <w:r w:rsidRPr="00DD2FB5">
        <w:rPr>
          <w:rFonts w:eastAsia="Times New Roman"/>
          <w:lang w:eastAsia="ru-RU"/>
        </w:rPr>
        <w:t xml:space="preserve">, </w:t>
      </w:r>
      <w:r w:rsidRPr="0095431F">
        <w:rPr>
          <w:rFonts w:eastAsia="Times New Roman"/>
          <w:lang w:eastAsia="ru-RU"/>
        </w:rPr>
        <w:t>з</w:t>
      </w:r>
      <w:r w:rsidRPr="00DD2FB5">
        <w:rPr>
          <w:rFonts w:eastAsia="Times New Roman"/>
          <w:lang w:eastAsia="ru-RU"/>
        </w:rPr>
        <w:t xml:space="preserve"> </w:t>
      </w:r>
      <w:r w:rsidRPr="0095431F">
        <w:rPr>
          <w:rFonts w:eastAsia="Times New Roman"/>
          <w:lang w:eastAsia="ru-RU"/>
        </w:rPr>
        <w:t>них</w:t>
      </w:r>
      <w:r w:rsidRPr="00DD2FB5">
        <w:rPr>
          <w:rFonts w:eastAsia="Times New Roman"/>
          <w:lang w:eastAsia="ru-RU"/>
        </w:rPr>
        <w:t xml:space="preserve"> 12903 </w:t>
      </w:r>
      <w:r w:rsidRPr="0095431F">
        <w:rPr>
          <w:rFonts w:eastAsia="Times New Roman"/>
          <w:lang w:eastAsia="ru-RU"/>
        </w:rPr>
        <w:t>є</w:t>
      </w:r>
      <w:r w:rsidRPr="00DD2FB5">
        <w:rPr>
          <w:rFonts w:eastAsia="Times New Roman"/>
          <w:lang w:eastAsia="ru-RU"/>
        </w:rPr>
        <w:t xml:space="preserve"> </w:t>
      </w:r>
      <w:r w:rsidRPr="0095431F">
        <w:rPr>
          <w:rFonts w:eastAsia="Times New Roman"/>
          <w:lang w:eastAsia="ru-RU"/>
        </w:rPr>
        <w:t>юридичними</w:t>
      </w:r>
      <w:r w:rsidRPr="00DD2FB5">
        <w:rPr>
          <w:rFonts w:eastAsia="Times New Roman"/>
          <w:lang w:eastAsia="ru-RU"/>
        </w:rPr>
        <w:t xml:space="preserve"> </w:t>
      </w:r>
      <w:r w:rsidRPr="0095431F">
        <w:rPr>
          <w:rFonts w:eastAsia="Times New Roman"/>
          <w:lang w:eastAsia="ru-RU"/>
        </w:rPr>
        <w:t>особами</w:t>
      </w:r>
      <w:r w:rsidRPr="00DD2FB5">
        <w:rPr>
          <w:rFonts w:eastAsia="Times New Roman"/>
          <w:lang w:eastAsia="ru-RU"/>
        </w:rPr>
        <w:t xml:space="preserve"> </w:t>
      </w:r>
      <w:r w:rsidRPr="0095431F">
        <w:rPr>
          <w:rFonts w:eastAsia="Times New Roman"/>
          <w:lang w:eastAsia="ru-RU"/>
        </w:rPr>
        <w:t>та</w:t>
      </w:r>
      <w:r w:rsidRPr="00DD2FB5">
        <w:rPr>
          <w:rFonts w:eastAsia="Times New Roman"/>
          <w:lang w:eastAsia="ru-RU"/>
        </w:rPr>
        <w:t xml:space="preserve"> 14333 - </w:t>
      </w:r>
      <w:r w:rsidRPr="0095431F">
        <w:rPr>
          <w:rFonts w:eastAsia="Times New Roman"/>
          <w:lang w:eastAsia="ru-RU"/>
        </w:rPr>
        <w:t>фізичні</w:t>
      </w:r>
      <w:r w:rsidRPr="00DD2FB5">
        <w:rPr>
          <w:rFonts w:eastAsia="Times New Roman"/>
          <w:lang w:eastAsia="ru-RU"/>
        </w:rPr>
        <w:t xml:space="preserve"> </w:t>
      </w:r>
      <w:r w:rsidRPr="0095431F">
        <w:rPr>
          <w:rFonts w:eastAsia="Times New Roman"/>
          <w:lang w:eastAsia="ru-RU"/>
        </w:rPr>
        <w:t>особи</w:t>
      </w:r>
      <w:r w:rsidRPr="00DD2FB5">
        <w:rPr>
          <w:rFonts w:eastAsia="Times New Roman"/>
          <w:lang w:eastAsia="ru-RU"/>
        </w:rPr>
        <w:t>-</w:t>
      </w:r>
      <w:r w:rsidRPr="0095431F">
        <w:rPr>
          <w:rFonts w:eastAsia="Times New Roman"/>
          <w:lang w:eastAsia="ru-RU"/>
        </w:rPr>
        <w:t>підприємці</w:t>
      </w:r>
      <w:r w:rsidRPr="00DD2FB5">
        <w:rPr>
          <w:rFonts w:eastAsia="Times New Roman"/>
          <w:lang w:eastAsia="ru-RU"/>
        </w:rPr>
        <w:t xml:space="preserve">. </w:t>
      </w:r>
      <w:r w:rsidRPr="0095431F">
        <w:rPr>
          <w:rFonts w:eastAsia="Times New Roman"/>
          <w:lang w:eastAsia="ru-RU"/>
        </w:rPr>
        <w:t>Слід</w:t>
      </w:r>
      <w:r w:rsidRPr="00DD2FB5">
        <w:rPr>
          <w:rFonts w:eastAsia="Times New Roman"/>
          <w:lang w:eastAsia="ru-RU"/>
        </w:rPr>
        <w:t xml:space="preserve"> </w:t>
      </w:r>
      <w:r w:rsidRPr="0095431F">
        <w:rPr>
          <w:rFonts w:eastAsia="Times New Roman"/>
          <w:lang w:eastAsia="ru-RU"/>
        </w:rPr>
        <w:t>відзначити</w:t>
      </w:r>
      <w:r w:rsidRPr="00DD2FB5">
        <w:rPr>
          <w:rFonts w:eastAsia="Times New Roman"/>
          <w:lang w:eastAsia="ru-RU"/>
        </w:rPr>
        <w:t xml:space="preserve">, </w:t>
      </w:r>
      <w:r w:rsidRPr="0095431F">
        <w:rPr>
          <w:rFonts w:eastAsia="Times New Roman"/>
          <w:lang w:eastAsia="ru-RU"/>
        </w:rPr>
        <w:t>що</w:t>
      </w:r>
      <w:r w:rsidRPr="00DD2FB5">
        <w:rPr>
          <w:rFonts w:eastAsia="Times New Roman"/>
          <w:lang w:eastAsia="ru-RU"/>
        </w:rPr>
        <w:t xml:space="preserve">, </w:t>
      </w:r>
      <w:r w:rsidRPr="0095431F">
        <w:rPr>
          <w:rFonts w:eastAsia="Times New Roman"/>
          <w:lang w:eastAsia="ru-RU"/>
        </w:rPr>
        <w:t>у</w:t>
      </w:r>
      <w:r w:rsidRPr="00DD2FB5">
        <w:rPr>
          <w:rFonts w:eastAsia="Times New Roman"/>
          <w:lang w:eastAsia="ru-RU"/>
        </w:rPr>
        <w:t xml:space="preserve"> </w:t>
      </w:r>
      <w:r w:rsidRPr="0095431F">
        <w:rPr>
          <w:rFonts w:eastAsia="Times New Roman"/>
          <w:lang w:eastAsia="ru-RU"/>
        </w:rPr>
        <w:lastRenderedPageBreak/>
        <w:t>порівнянні</w:t>
      </w:r>
      <w:r w:rsidRPr="00DD2FB5">
        <w:rPr>
          <w:rFonts w:eastAsia="Times New Roman"/>
          <w:lang w:eastAsia="ru-RU"/>
        </w:rPr>
        <w:t xml:space="preserve"> </w:t>
      </w:r>
      <w:r w:rsidRPr="0095431F">
        <w:rPr>
          <w:rFonts w:eastAsia="Times New Roman"/>
          <w:lang w:eastAsia="ru-RU"/>
        </w:rPr>
        <w:t>з</w:t>
      </w:r>
      <w:r w:rsidRPr="00DD2FB5">
        <w:rPr>
          <w:rFonts w:eastAsia="Times New Roman"/>
          <w:lang w:eastAsia="ru-RU"/>
        </w:rPr>
        <w:t xml:space="preserve"> </w:t>
      </w:r>
      <w:r w:rsidRPr="0095431F">
        <w:rPr>
          <w:rFonts w:eastAsia="Times New Roman"/>
          <w:lang w:eastAsia="ru-RU"/>
        </w:rPr>
        <w:t>початком</w:t>
      </w:r>
      <w:r w:rsidRPr="00DD2FB5">
        <w:rPr>
          <w:rFonts w:eastAsia="Times New Roman"/>
          <w:lang w:eastAsia="ru-RU"/>
        </w:rPr>
        <w:t xml:space="preserve"> 2019 </w:t>
      </w:r>
      <w:r w:rsidRPr="0095431F">
        <w:rPr>
          <w:rFonts w:eastAsia="Times New Roman"/>
          <w:lang w:eastAsia="ru-RU"/>
        </w:rPr>
        <w:t>року</w:t>
      </w:r>
      <w:r w:rsidRPr="00DD2FB5">
        <w:rPr>
          <w:rFonts w:eastAsia="Times New Roman"/>
          <w:lang w:eastAsia="ru-RU"/>
        </w:rPr>
        <w:t xml:space="preserve">, </w:t>
      </w:r>
      <w:r w:rsidRPr="0095431F">
        <w:rPr>
          <w:rFonts w:eastAsia="Times New Roman"/>
          <w:lang w:eastAsia="ru-RU"/>
        </w:rPr>
        <w:t>спостерігається</w:t>
      </w:r>
      <w:r w:rsidRPr="00DD2FB5">
        <w:rPr>
          <w:rFonts w:eastAsia="Times New Roman"/>
          <w:lang w:eastAsia="ru-RU"/>
        </w:rPr>
        <w:t xml:space="preserve"> </w:t>
      </w:r>
      <w:r w:rsidRPr="0095431F">
        <w:rPr>
          <w:rFonts w:eastAsia="Times New Roman"/>
          <w:lang w:eastAsia="ru-RU"/>
        </w:rPr>
        <w:t>збільшення</w:t>
      </w:r>
      <w:r w:rsidRPr="00DD2FB5">
        <w:rPr>
          <w:rFonts w:eastAsia="Times New Roman"/>
          <w:lang w:eastAsia="ru-RU"/>
        </w:rPr>
        <w:t xml:space="preserve"> </w:t>
      </w:r>
      <w:r w:rsidRPr="0095431F">
        <w:rPr>
          <w:rFonts w:eastAsia="Times New Roman"/>
          <w:lang w:eastAsia="ru-RU"/>
        </w:rPr>
        <w:t>на</w:t>
      </w:r>
      <w:r w:rsidRPr="00DD2FB5">
        <w:rPr>
          <w:rFonts w:eastAsia="Times New Roman"/>
          <w:lang w:eastAsia="ru-RU"/>
        </w:rPr>
        <w:t xml:space="preserve"> 940 </w:t>
      </w:r>
      <w:r w:rsidRPr="0095431F">
        <w:rPr>
          <w:rFonts w:eastAsia="Times New Roman"/>
          <w:lang w:eastAsia="ru-RU"/>
        </w:rPr>
        <w:t>одиниць</w:t>
      </w:r>
      <w:r w:rsidRPr="00DD2FB5">
        <w:rPr>
          <w:rFonts w:eastAsia="Times New Roman"/>
          <w:lang w:eastAsia="ru-RU"/>
        </w:rPr>
        <w:t xml:space="preserve"> </w:t>
      </w:r>
      <w:r w:rsidRPr="0095431F">
        <w:rPr>
          <w:rFonts w:eastAsia="Times New Roman"/>
          <w:lang w:eastAsia="ru-RU"/>
        </w:rPr>
        <w:t>кількості</w:t>
      </w:r>
      <w:r w:rsidRPr="00DD2FB5">
        <w:rPr>
          <w:rFonts w:eastAsia="Times New Roman"/>
          <w:lang w:eastAsia="ru-RU"/>
        </w:rPr>
        <w:t xml:space="preserve"> </w:t>
      </w:r>
      <w:r w:rsidRPr="0095431F">
        <w:rPr>
          <w:rFonts w:eastAsia="Times New Roman"/>
          <w:lang w:eastAsia="ru-RU"/>
        </w:rPr>
        <w:t>зареєстрованих</w:t>
      </w:r>
      <w:r w:rsidRPr="00DD2FB5">
        <w:rPr>
          <w:rFonts w:eastAsia="Times New Roman"/>
          <w:lang w:eastAsia="ru-RU"/>
        </w:rPr>
        <w:t xml:space="preserve"> </w:t>
      </w:r>
      <w:r w:rsidRPr="0095431F">
        <w:rPr>
          <w:rFonts w:eastAsia="Times New Roman"/>
          <w:lang w:eastAsia="ru-RU"/>
        </w:rPr>
        <w:t>СПД</w:t>
      </w:r>
      <w:r w:rsidRPr="00DD2FB5">
        <w:rPr>
          <w:rFonts w:eastAsia="Times New Roman"/>
          <w:lang w:eastAsia="ru-RU"/>
        </w:rPr>
        <w:t xml:space="preserve">, </w:t>
      </w:r>
      <w:r w:rsidRPr="0095431F">
        <w:rPr>
          <w:rFonts w:eastAsia="Times New Roman"/>
          <w:lang w:eastAsia="ru-RU"/>
        </w:rPr>
        <w:t>що</w:t>
      </w:r>
      <w:r w:rsidRPr="00DD2FB5">
        <w:rPr>
          <w:rFonts w:eastAsia="Times New Roman"/>
          <w:lang w:eastAsia="ru-RU"/>
        </w:rPr>
        <w:t xml:space="preserve"> </w:t>
      </w:r>
      <w:r w:rsidRPr="0095431F">
        <w:rPr>
          <w:rFonts w:eastAsia="Times New Roman"/>
          <w:lang w:eastAsia="ru-RU"/>
        </w:rPr>
        <w:t>становить</w:t>
      </w:r>
      <w:r w:rsidRPr="00DD2FB5">
        <w:rPr>
          <w:rFonts w:eastAsia="Times New Roman"/>
          <w:lang w:eastAsia="ru-RU"/>
        </w:rPr>
        <w:t xml:space="preserve"> 3,4%,</w:t>
      </w:r>
      <w:r w:rsidRPr="00DD2FB5">
        <w:rPr>
          <w:rFonts w:eastAsia="Times New Roman"/>
          <w:lang w:eastAsia="uk-UA"/>
        </w:rPr>
        <w:t xml:space="preserve"> </w:t>
      </w:r>
      <w:r w:rsidRPr="0095431F">
        <w:rPr>
          <w:rFonts w:eastAsia="Times New Roman"/>
          <w:lang w:eastAsia="ru-RU"/>
        </w:rPr>
        <w:t>з</w:t>
      </w:r>
      <w:r w:rsidRPr="00DD2FB5">
        <w:rPr>
          <w:rFonts w:eastAsia="Times New Roman"/>
          <w:lang w:eastAsia="ru-RU"/>
        </w:rPr>
        <w:t xml:space="preserve"> </w:t>
      </w:r>
      <w:r w:rsidRPr="0095431F">
        <w:rPr>
          <w:rFonts w:eastAsia="Times New Roman"/>
          <w:lang w:eastAsia="ru-RU"/>
        </w:rPr>
        <w:t>них</w:t>
      </w:r>
      <w:r w:rsidRPr="00DD2FB5">
        <w:rPr>
          <w:rFonts w:eastAsia="Times New Roman"/>
          <w:lang w:eastAsia="ru-RU"/>
        </w:rPr>
        <w:t xml:space="preserve"> 53% - </w:t>
      </w:r>
      <w:r w:rsidRPr="0095431F">
        <w:rPr>
          <w:rFonts w:eastAsia="Times New Roman"/>
          <w:lang w:eastAsia="ru-RU"/>
        </w:rPr>
        <w:t>жінки</w:t>
      </w:r>
      <w:r w:rsidRPr="00DD2FB5">
        <w:rPr>
          <w:rFonts w:eastAsia="Times New Roman"/>
          <w:lang w:eastAsia="ru-RU"/>
        </w:rPr>
        <w:t xml:space="preserve"> </w:t>
      </w:r>
      <w:r w:rsidR="007B3F23" w:rsidRPr="00DD2FB5">
        <w:rPr>
          <w:rFonts w:eastAsia="Times New Roman"/>
          <w:lang w:eastAsia="ru-RU"/>
        </w:rPr>
        <w:t>–</w:t>
      </w:r>
      <w:r w:rsidRPr="00DD2FB5">
        <w:rPr>
          <w:rFonts w:eastAsia="Times New Roman"/>
          <w:lang w:eastAsia="ru-RU"/>
        </w:rPr>
        <w:t xml:space="preserve"> </w:t>
      </w:r>
      <w:r w:rsidRPr="0095431F">
        <w:rPr>
          <w:rFonts w:eastAsia="Times New Roman"/>
          <w:lang w:eastAsia="ru-RU"/>
        </w:rPr>
        <w:t>підприємиці</w:t>
      </w:r>
      <w:r w:rsidR="007B3F23">
        <w:rPr>
          <w:rFonts w:eastAsia="Times New Roman"/>
          <w:lang w:val="uk-UA" w:eastAsia="ru-RU"/>
        </w:rPr>
        <w:t>.</w:t>
      </w:r>
      <w:r w:rsidRPr="00DD2FB5">
        <w:rPr>
          <w:rFonts w:eastAsia="Times New Roman"/>
          <w:lang w:eastAsia="ru-RU"/>
        </w:rPr>
        <w:t xml:space="preserve">  </w:t>
      </w:r>
    </w:p>
    <w:p w:rsidR="0095431F" w:rsidRPr="0095431F" w:rsidRDefault="007B3F23" w:rsidP="0095431F">
      <w:pPr>
        <w:ind w:firstLine="627"/>
        <w:jc w:val="both"/>
        <w:rPr>
          <w:rFonts w:eastAsia="Times New Roman"/>
          <w:lang w:eastAsia="ru-RU"/>
        </w:rPr>
      </w:pPr>
      <w:r>
        <w:rPr>
          <w:rFonts w:eastAsia="Times New Roman"/>
          <w:lang w:val="uk-UA" w:eastAsia="ru-RU"/>
        </w:rPr>
        <w:t>Для</w:t>
      </w:r>
      <w:r w:rsidR="0095431F" w:rsidRPr="00DD2FB5">
        <w:rPr>
          <w:rFonts w:eastAsia="Times New Roman"/>
          <w:lang w:eastAsia="ru-RU"/>
        </w:rPr>
        <w:t xml:space="preserve"> </w:t>
      </w:r>
      <w:r w:rsidR="0095431F" w:rsidRPr="0095431F">
        <w:rPr>
          <w:rFonts w:eastAsia="Times New Roman"/>
          <w:lang w:eastAsia="ru-RU"/>
        </w:rPr>
        <w:t>залучення</w:t>
      </w:r>
      <w:r w:rsidR="0095431F" w:rsidRPr="00DD2FB5">
        <w:rPr>
          <w:rFonts w:eastAsia="Times New Roman"/>
          <w:lang w:eastAsia="ru-RU"/>
        </w:rPr>
        <w:t xml:space="preserve"> </w:t>
      </w:r>
      <w:r w:rsidR="0095431F" w:rsidRPr="0095431F">
        <w:rPr>
          <w:rFonts w:eastAsia="Times New Roman"/>
          <w:lang w:eastAsia="ru-RU"/>
        </w:rPr>
        <w:t>суб</w:t>
      </w:r>
      <w:r w:rsidR="0095431F" w:rsidRPr="00DD2FB5">
        <w:rPr>
          <w:rFonts w:eastAsia="Times New Roman"/>
          <w:lang w:eastAsia="ru-RU"/>
        </w:rPr>
        <w:t>’</w:t>
      </w:r>
      <w:r w:rsidR="0095431F" w:rsidRPr="0095431F">
        <w:rPr>
          <w:rFonts w:eastAsia="Times New Roman"/>
          <w:lang w:eastAsia="ru-RU"/>
        </w:rPr>
        <w:t>єктів</w:t>
      </w:r>
      <w:r w:rsidR="0095431F" w:rsidRPr="00DD2FB5">
        <w:rPr>
          <w:rFonts w:eastAsia="Times New Roman"/>
          <w:lang w:eastAsia="ru-RU"/>
        </w:rPr>
        <w:t xml:space="preserve"> </w:t>
      </w:r>
      <w:r w:rsidR="0095431F" w:rsidRPr="0095431F">
        <w:rPr>
          <w:rFonts w:eastAsia="Times New Roman"/>
          <w:lang w:eastAsia="ru-RU"/>
        </w:rPr>
        <w:t>підприємництва</w:t>
      </w:r>
      <w:r w:rsidR="0095431F" w:rsidRPr="00DD2FB5">
        <w:rPr>
          <w:rFonts w:eastAsia="Times New Roman"/>
          <w:lang w:eastAsia="ru-RU"/>
        </w:rPr>
        <w:t xml:space="preserve"> </w:t>
      </w:r>
      <w:r w:rsidR="0095431F" w:rsidRPr="0095431F">
        <w:rPr>
          <w:rFonts w:eastAsia="Times New Roman"/>
          <w:lang w:eastAsia="ru-RU"/>
        </w:rPr>
        <w:t>до</w:t>
      </w:r>
      <w:r w:rsidR="0095431F" w:rsidRPr="00DD2FB5">
        <w:rPr>
          <w:rFonts w:eastAsia="Times New Roman"/>
          <w:lang w:eastAsia="ru-RU"/>
        </w:rPr>
        <w:t xml:space="preserve"> </w:t>
      </w:r>
      <w:r w:rsidR="0095431F" w:rsidRPr="0095431F">
        <w:rPr>
          <w:rFonts w:eastAsia="Times New Roman"/>
          <w:lang w:eastAsia="ru-RU"/>
        </w:rPr>
        <w:t>вироблення</w:t>
      </w:r>
      <w:r w:rsidR="0095431F" w:rsidRPr="00DD2FB5">
        <w:rPr>
          <w:rFonts w:eastAsia="Times New Roman"/>
          <w:lang w:eastAsia="ru-RU"/>
        </w:rPr>
        <w:t xml:space="preserve"> </w:t>
      </w:r>
      <w:r w:rsidR="0095431F" w:rsidRPr="0095431F">
        <w:rPr>
          <w:rFonts w:eastAsia="Times New Roman"/>
          <w:lang w:eastAsia="ru-RU"/>
        </w:rPr>
        <w:t>і</w:t>
      </w:r>
      <w:r w:rsidR="0095431F" w:rsidRPr="00DD2FB5">
        <w:rPr>
          <w:rFonts w:eastAsia="Times New Roman"/>
          <w:lang w:eastAsia="ru-RU"/>
        </w:rPr>
        <w:t xml:space="preserve"> </w:t>
      </w:r>
      <w:r w:rsidR="0095431F" w:rsidRPr="0095431F">
        <w:rPr>
          <w:rFonts w:eastAsia="Times New Roman"/>
          <w:lang w:eastAsia="ru-RU"/>
        </w:rPr>
        <w:t>реалізації</w:t>
      </w:r>
      <w:r w:rsidR="0095431F" w:rsidRPr="00DD2FB5">
        <w:rPr>
          <w:rFonts w:eastAsia="Times New Roman"/>
          <w:lang w:eastAsia="ru-RU"/>
        </w:rPr>
        <w:t xml:space="preserve"> </w:t>
      </w:r>
      <w:r w:rsidR="0095431F" w:rsidRPr="0095431F">
        <w:rPr>
          <w:rFonts w:eastAsia="Times New Roman"/>
          <w:lang w:eastAsia="ru-RU"/>
        </w:rPr>
        <w:t>спільних</w:t>
      </w:r>
      <w:r w:rsidR="0095431F" w:rsidRPr="00DD2FB5">
        <w:rPr>
          <w:rFonts w:eastAsia="Times New Roman"/>
          <w:lang w:eastAsia="ru-RU"/>
        </w:rPr>
        <w:t xml:space="preserve"> </w:t>
      </w:r>
      <w:r w:rsidR="0095431F" w:rsidRPr="0095431F">
        <w:rPr>
          <w:rFonts w:eastAsia="Times New Roman"/>
          <w:lang w:eastAsia="ru-RU"/>
        </w:rPr>
        <w:t>з</w:t>
      </w:r>
      <w:r w:rsidR="0095431F" w:rsidRPr="00DD2FB5">
        <w:rPr>
          <w:rFonts w:eastAsia="Times New Roman"/>
          <w:lang w:eastAsia="ru-RU"/>
        </w:rPr>
        <w:t xml:space="preserve"> </w:t>
      </w:r>
      <w:r w:rsidR="0095431F" w:rsidRPr="0095431F">
        <w:rPr>
          <w:rFonts w:eastAsia="Times New Roman"/>
          <w:lang w:eastAsia="ru-RU"/>
        </w:rPr>
        <w:t>органами</w:t>
      </w:r>
      <w:r w:rsidR="0095431F" w:rsidRPr="00DD2FB5">
        <w:rPr>
          <w:rFonts w:eastAsia="Times New Roman"/>
          <w:lang w:eastAsia="ru-RU"/>
        </w:rPr>
        <w:t xml:space="preserve"> </w:t>
      </w:r>
      <w:r w:rsidR="0095431F" w:rsidRPr="0095431F">
        <w:rPr>
          <w:rFonts w:eastAsia="Times New Roman"/>
          <w:lang w:eastAsia="ru-RU"/>
        </w:rPr>
        <w:t>місцевого</w:t>
      </w:r>
      <w:r w:rsidR="0095431F" w:rsidRPr="00DD2FB5">
        <w:rPr>
          <w:rFonts w:eastAsia="Times New Roman"/>
          <w:lang w:eastAsia="ru-RU"/>
        </w:rPr>
        <w:t xml:space="preserve"> </w:t>
      </w:r>
      <w:r w:rsidR="0095431F" w:rsidRPr="0095431F">
        <w:rPr>
          <w:rFonts w:eastAsia="Times New Roman"/>
          <w:lang w:eastAsia="ru-RU"/>
        </w:rPr>
        <w:t>самоврядування</w:t>
      </w:r>
      <w:r w:rsidR="0095431F" w:rsidRPr="00DD2FB5">
        <w:rPr>
          <w:rFonts w:eastAsia="Times New Roman"/>
          <w:lang w:eastAsia="ru-RU"/>
        </w:rPr>
        <w:t xml:space="preserve"> </w:t>
      </w:r>
      <w:r w:rsidR="0095431F" w:rsidRPr="0095431F">
        <w:rPr>
          <w:rFonts w:eastAsia="Times New Roman"/>
          <w:lang w:eastAsia="ru-RU"/>
        </w:rPr>
        <w:t>рішень</w:t>
      </w:r>
      <w:r w:rsidR="0095431F" w:rsidRPr="00DD2FB5">
        <w:rPr>
          <w:rFonts w:eastAsia="Times New Roman"/>
          <w:lang w:eastAsia="ru-RU"/>
        </w:rPr>
        <w:t xml:space="preserve"> </w:t>
      </w:r>
      <w:r w:rsidR="0095431F" w:rsidRPr="0095431F">
        <w:rPr>
          <w:rFonts w:eastAsia="Times New Roman"/>
          <w:lang w:eastAsia="ru-RU"/>
        </w:rPr>
        <w:t>у</w:t>
      </w:r>
      <w:r w:rsidR="0095431F" w:rsidRPr="00DD2FB5">
        <w:rPr>
          <w:rFonts w:eastAsia="Times New Roman"/>
          <w:lang w:eastAsia="ru-RU"/>
        </w:rPr>
        <w:t xml:space="preserve"> </w:t>
      </w:r>
      <w:r w:rsidR="0095431F" w:rsidRPr="0095431F">
        <w:rPr>
          <w:rFonts w:eastAsia="Times New Roman"/>
          <w:lang w:eastAsia="ru-RU"/>
        </w:rPr>
        <w:t>сфері</w:t>
      </w:r>
      <w:r w:rsidR="0095431F" w:rsidRPr="00DD2FB5">
        <w:rPr>
          <w:rFonts w:eastAsia="Times New Roman"/>
          <w:lang w:eastAsia="ru-RU"/>
        </w:rPr>
        <w:t xml:space="preserve"> </w:t>
      </w:r>
      <w:r w:rsidR="0095431F" w:rsidRPr="0095431F">
        <w:rPr>
          <w:rFonts w:eastAsia="Times New Roman"/>
          <w:lang w:eastAsia="ru-RU"/>
        </w:rPr>
        <w:t>розвитку</w:t>
      </w:r>
      <w:r w:rsidR="0095431F" w:rsidRPr="00DD2FB5">
        <w:rPr>
          <w:rFonts w:eastAsia="Times New Roman"/>
          <w:lang w:eastAsia="ru-RU"/>
        </w:rPr>
        <w:t xml:space="preserve"> </w:t>
      </w:r>
      <w:r w:rsidR="0095431F" w:rsidRPr="0095431F">
        <w:rPr>
          <w:rFonts w:eastAsia="Times New Roman"/>
          <w:lang w:eastAsia="ru-RU"/>
        </w:rPr>
        <w:t>малого</w:t>
      </w:r>
      <w:r w:rsidR="0095431F" w:rsidRPr="00DD2FB5">
        <w:rPr>
          <w:rFonts w:eastAsia="Times New Roman"/>
          <w:lang w:eastAsia="ru-RU"/>
        </w:rPr>
        <w:t xml:space="preserve"> </w:t>
      </w:r>
      <w:r w:rsidR="0095431F" w:rsidRPr="0095431F">
        <w:rPr>
          <w:rFonts w:eastAsia="Times New Roman"/>
          <w:lang w:eastAsia="ru-RU"/>
        </w:rPr>
        <w:t>і</w:t>
      </w:r>
      <w:r w:rsidR="0095431F" w:rsidRPr="00DD2FB5">
        <w:rPr>
          <w:rFonts w:eastAsia="Times New Roman"/>
          <w:lang w:eastAsia="ru-RU"/>
        </w:rPr>
        <w:t xml:space="preserve"> </w:t>
      </w:r>
      <w:r w:rsidR="0095431F" w:rsidRPr="0095431F">
        <w:rPr>
          <w:rFonts w:eastAsia="Times New Roman"/>
          <w:lang w:eastAsia="ru-RU"/>
        </w:rPr>
        <w:t>середнього</w:t>
      </w:r>
      <w:r w:rsidR="0095431F" w:rsidRPr="00DD2FB5">
        <w:rPr>
          <w:rFonts w:eastAsia="Times New Roman"/>
          <w:lang w:eastAsia="ru-RU"/>
        </w:rPr>
        <w:t xml:space="preserve"> </w:t>
      </w:r>
      <w:r w:rsidR="0095431F" w:rsidRPr="0095431F">
        <w:rPr>
          <w:rFonts w:eastAsia="Times New Roman"/>
          <w:lang w:eastAsia="ru-RU"/>
        </w:rPr>
        <w:t>бізнесу</w:t>
      </w:r>
      <w:r w:rsidR="0095431F" w:rsidRPr="00DD2FB5">
        <w:rPr>
          <w:rFonts w:eastAsia="Times New Roman"/>
          <w:lang w:eastAsia="ru-RU"/>
        </w:rPr>
        <w:t xml:space="preserve"> </w:t>
      </w:r>
      <w:r w:rsidR="0095431F" w:rsidRPr="0095431F">
        <w:rPr>
          <w:rFonts w:eastAsia="Times New Roman"/>
          <w:lang w:eastAsia="ru-RU"/>
        </w:rPr>
        <w:t>забезпечено</w:t>
      </w:r>
      <w:r w:rsidR="0095431F" w:rsidRPr="00DD2FB5">
        <w:rPr>
          <w:rFonts w:eastAsia="Times New Roman"/>
          <w:lang w:eastAsia="ru-RU"/>
        </w:rPr>
        <w:t xml:space="preserve"> </w:t>
      </w:r>
      <w:r w:rsidR="0095431F" w:rsidRPr="0095431F">
        <w:rPr>
          <w:rFonts w:eastAsia="Times New Roman"/>
          <w:lang w:eastAsia="ru-RU"/>
        </w:rPr>
        <w:t>співпрацю</w:t>
      </w:r>
      <w:r w:rsidR="0095431F" w:rsidRPr="00DD2FB5">
        <w:rPr>
          <w:rFonts w:eastAsia="Times New Roman"/>
          <w:lang w:eastAsia="ru-RU"/>
        </w:rPr>
        <w:t xml:space="preserve"> </w:t>
      </w:r>
      <w:r w:rsidR="0095431F" w:rsidRPr="0095431F">
        <w:rPr>
          <w:rFonts w:eastAsia="Times New Roman"/>
          <w:lang w:eastAsia="ru-RU"/>
        </w:rPr>
        <w:t>з</w:t>
      </w:r>
      <w:r w:rsidR="0095431F" w:rsidRPr="00DD2FB5">
        <w:rPr>
          <w:rFonts w:eastAsia="Times New Roman"/>
          <w:lang w:eastAsia="ru-RU"/>
        </w:rPr>
        <w:t xml:space="preserve"> </w:t>
      </w:r>
      <w:r w:rsidR="0095431F" w:rsidRPr="0095431F">
        <w:rPr>
          <w:rFonts w:eastAsia="Times New Roman"/>
          <w:lang w:eastAsia="ru-RU"/>
        </w:rPr>
        <w:t>Дорадчою</w:t>
      </w:r>
      <w:r w:rsidR="0095431F" w:rsidRPr="00DD2FB5">
        <w:rPr>
          <w:rFonts w:eastAsia="Times New Roman"/>
          <w:lang w:eastAsia="ru-RU"/>
        </w:rPr>
        <w:t xml:space="preserve"> </w:t>
      </w:r>
      <w:r w:rsidR="0095431F" w:rsidRPr="0095431F">
        <w:rPr>
          <w:rFonts w:eastAsia="Times New Roman"/>
          <w:lang w:eastAsia="ru-RU"/>
        </w:rPr>
        <w:t>радою</w:t>
      </w:r>
      <w:r w:rsidR="0095431F" w:rsidRPr="00DD2FB5">
        <w:rPr>
          <w:rFonts w:eastAsia="Times New Roman"/>
          <w:lang w:eastAsia="ru-RU"/>
        </w:rPr>
        <w:t xml:space="preserve"> </w:t>
      </w:r>
      <w:r w:rsidR="0095431F" w:rsidRPr="0095431F">
        <w:rPr>
          <w:rFonts w:eastAsia="Times New Roman"/>
          <w:lang w:eastAsia="ru-RU"/>
        </w:rPr>
        <w:t>при</w:t>
      </w:r>
      <w:r w:rsidR="0095431F" w:rsidRPr="00DD2FB5">
        <w:rPr>
          <w:rFonts w:eastAsia="Times New Roman"/>
          <w:lang w:eastAsia="ru-RU"/>
        </w:rPr>
        <w:t xml:space="preserve"> </w:t>
      </w:r>
      <w:r w:rsidR="0095431F" w:rsidRPr="0095431F">
        <w:rPr>
          <w:rFonts w:eastAsia="Times New Roman"/>
          <w:lang w:eastAsia="ru-RU"/>
        </w:rPr>
        <w:t>міському</w:t>
      </w:r>
      <w:r w:rsidR="0095431F" w:rsidRPr="00DD2FB5">
        <w:rPr>
          <w:rFonts w:eastAsia="Times New Roman"/>
          <w:lang w:eastAsia="ru-RU"/>
        </w:rPr>
        <w:t xml:space="preserve"> </w:t>
      </w:r>
      <w:r w:rsidR="0095431F" w:rsidRPr="0095431F">
        <w:rPr>
          <w:rFonts w:eastAsia="Times New Roman"/>
          <w:lang w:eastAsia="ru-RU"/>
        </w:rPr>
        <w:t>голові</w:t>
      </w:r>
      <w:r w:rsidR="0095431F" w:rsidRPr="00DD2FB5">
        <w:rPr>
          <w:rFonts w:eastAsia="Times New Roman"/>
          <w:lang w:eastAsia="ru-RU"/>
        </w:rPr>
        <w:t xml:space="preserve"> </w:t>
      </w:r>
      <w:r w:rsidR="0095431F" w:rsidRPr="0095431F">
        <w:rPr>
          <w:rFonts w:eastAsia="Times New Roman"/>
          <w:lang w:eastAsia="ru-RU"/>
        </w:rPr>
        <w:t>та</w:t>
      </w:r>
      <w:r w:rsidR="0095431F" w:rsidRPr="00DD2FB5">
        <w:rPr>
          <w:rFonts w:eastAsia="Times New Roman"/>
          <w:lang w:eastAsia="ru-RU"/>
        </w:rPr>
        <w:t xml:space="preserve"> </w:t>
      </w:r>
      <w:r w:rsidR="0095431F" w:rsidRPr="0095431F">
        <w:rPr>
          <w:rFonts w:eastAsia="Times New Roman"/>
          <w:lang w:eastAsia="ru-RU"/>
        </w:rPr>
        <w:t>Радою</w:t>
      </w:r>
      <w:r w:rsidR="0095431F" w:rsidRPr="00DD2FB5">
        <w:rPr>
          <w:rFonts w:eastAsia="Times New Roman"/>
          <w:lang w:eastAsia="ru-RU"/>
        </w:rPr>
        <w:t xml:space="preserve"> </w:t>
      </w:r>
      <w:r w:rsidR="0095431F" w:rsidRPr="0095431F">
        <w:rPr>
          <w:rFonts w:eastAsia="Times New Roman"/>
          <w:lang w:eastAsia="ru-RU"/>
        </w:rPr>
        <w:t>підприємців</w:t>
      </w:r>
      <w:r w:rsidR="0095431F" w:rsidRPr="00DD2FB5">
        <w:rPr>
          <w:rFonts w:eastAsia="Times New Roman"/>
          <w:lang w:eastAsia="ru-RU"/>
        </w:rPr>
        <w:t xml:space="preserve"> – </w:t>
      </w:r>
      <w:r w:rsidR="0095431F" w:rsidRPr="0095431F">
        <w:rPr>
          <w:rFonts w:eastAsia="Times New Roman"/>
          <w:lang w:eastAsia="ru-RU"/>
        </w:rPr>
        <w:t>дорадчим</w:t>
      </w:r>
      <w:r w:rsidR="0095431F" w:rsidRPr="00DD2FB5">
        <w:rPr>
          <w:rFonts w:eastAsia="Times New Roman"/>
          <w:lang w:eastAsia="ru-RU"/>
        </w:rPr>
        <w:t xml:space="preserve"> </w:t>
      </w:r>
      <w:r w:rsidR="0095431F" w:rsidRPr="0095431F">
        <w:rPr>
          <w:rFonts w:eastAsia="Times New Roman"/>
          <w:lang w:eastAsia="ru-RU"/>
        </w:rPr>
        <w:t>органом</w:t>
      </w:r>
      <w:r w:rsidR="0095431F" w:rsidRPr="00DD2FB5">
        <w:rPr>
          <w:rFonts w:eastAsia="Times New Roman"/>
          <w:lang w:eastAsia="ru-RU"/>
        </w:rPr>
        <w:t xml:space="preserve"> </w:t>
      </w:r>
      <w:r w:rsidR="0095431F" w:rsidRPr="0095431F">
        <w:rPr>
          <w:rFonts w:eastAsia="Times New Roman"/>
          <w:lang w:eastAsia="ru-RU"/>
        </w:rPr>
        <w:t>при</w:t>
      </w:r>
      <w:r w:rsidR="0095431F" w:rsidRPr="00DD2FB5">
        <w:rPr>
          <w:rFonts w:eastAsia="Times New Roman"/>
          <w:lang w:eastAsia="ru-RU"/>
        </w:rPr>
        <w:t xml:space="preserve"> </w:t>
      </w:r>
      <w:r w:rsidR="0095431F" w:rsidRPr="0095431F">
        <w:rPr>
          <w:rFonts w:eastAsia="Times New Roman"/>
          <w:lang w:eastAsia="ru-RU"/>
        </w:rPr>
        <w:t>виконавчому</w:t>
      </w:r>
      <w:r w:rsidR="0095431F" w:rsidRPr="00DD2FB5">
        <w:rPr>
          <w:rFonts w:eastAsia="Times New Roman"/>
          <w:lang w:eastAsia="ru-RU"/>
        </w:rPr>
        <w:t xml:space="preserve"> </w:t>
      </w:r>
      <w:r w:rsidR="0095431F" w:rsidRPr="0095431F">
        <w:rPr>
          <w:rFonts w:eastAsia="Times New Roman"/>
          <w:lang w:eastAsia="ru-RU"/>
        </w:rPr>
        <w:t>комітеті</w:t>
      </w:r>
      <w:r w:rsidR="0095431F" w:rsidRPr="00DD2FB5">
        <w:rPr>
          <w:rFonts w:eastAsia="Times New Roman"/>
          <w:lang w:eastAsia="ru-RU"/>
        </w:rPr>
        <w:t xml:space="preserve"> </w:t>
      </w:r>
      <w:r w:rsidR="0095431F" w:rsidRPr="0095431F">
        <w:rPr>
          <w:rFonts w:eastAsia="Times New Roman"/>
          <w:lang w:eastAsia="ru-RU"/>
        </w:rPr>
        <w:t>міської</w:t>
      </w:r>
      <w:r w:rsidR="0095431F" w:rsidRPr="00DD2FB5">
        <w:rPr>
          <w:rFonts w:eastAsia="Times New Roman"/>
          <w:lang w:eastAsia="ru-RU"/>
        </w:rPr>
        <w:t xml:space="preserve"> </w:t>
      </w:r>
      <w:r w:rsidR="0095431F" w:rsidRPr="0095431F">
        <w:rPr>
          <w:rFonts w:eastAsia="Times New Roman"/>
          <w:lang w:eastAsia="ru-RU"/>
        </w:rPr>
        <w:t>ради</w:t>
      </w:r>
      <w:r w:rsidR="0095431F" w:rsidRPr="00DD2FB5">
        <w:rPr>
          <w:rFonts w:eastAsia="Times New Roman"/>
          <w:lang w:eastAsia="ru-RU"/>
        </w:rPr>
        <w:t xml:space="preserve">. </w:t>
      </w:r>
      <w:r w:rsidR="0095431F" w:rsidRPr="0095431F">
        <w:rPr>
          <w:rFonts w:eastAsia="Times New Roman"/>
          <w:lang w:eastAsia="ru-RU"/>
        </w:rPr>
        <w:t>Також здійснено тісну співпрацю з місцевими громадськими організаціями, структурами підтримки бізнесу, підприємствами, установами, організаціями всіх форм власності з питань розвитку та підтримки бізнесу, вирішення актуальних проблем місцевого підприємництва тощо.</w:t>
      </w:r>
    </w:p>
    <w:p w:rsidR="0095431F" w:rsidRPr="0095431F" w:rsidRDefault="0095431F" w:rsidP="0095431F">
      <w:pPr>
        <w:ind w:firstLine="627"/>
        <w:jc w:val="both"/>
        <w:rPr>
          <w:rFonts w:eastAsia="Times New Roman"/>
          <w:lang w:eastAsia="ru-RU"/>
        </w:rPr>
      </w:pPr>
      <w:r w:rsidRPr="0095431F">
        <w:rPr>
          <w:rFonts w:eastAsia="Times New Roman"/>
          <w:lang w:eastAsia="ru-RU"/>
        </w:rPr>
        <w:t xml:space="preserve">З метою підтримки бізнесу та надання допомоги підприємцям-початківцям забезпечено функціонування Центру розвитку підприємництва "Бізнес-інкубатор" при ІФНТУНГ, на базі якого потенційні та діючі суб’єкти підприємництва мають можливість отримати комплекс бізнес-послуг на безкоштовній основі. </w:t>
      </w:r>
    </w:p>
    <w:p w:rsidR="0095431F" w:rsidRPr="0095431F" w:rsidRDefault="0095431F" w:rsidP="0095431F">
      <w:pPr>
        <w:ind w:firstLine="627"/>
        <w:jc w:val="both"/>
        <w:rPr>
          <w:rFonts w:eastAsia="Times New Roman"/>
          <w:lang w:eastAsia="ru-RU"/>
        </w:rPr>
      </w:pPr>
      <w:r w:rsidRPr="0095431F">
        <w:rPr>
          <w:rFonts w:eastAsia="Times New Roman"/>
          <w:lang w:eastAsia="ru-RU"/>
        </w:rPr>
        <w:t>На виконання договору про співпрацю з Івано-Франківським національним технічним університетом нафти і газу управлінням економічного та інтеграційного розвитку двічі протягом 2019 року, у березні-квітні та листопаді-грудні, організовано двомісячний курс навчань з основ комп’ютерної грамоти для пенсіонерів - власників картки іванофранківця. Навчання проводилися у ЦРП "Бізнес-Інкубатор". Всього навчання пройшли понад 80 людей літнього віку. Після закінчення навчань учасники отримали відповідні сертифікати.</w:t>
      </w:r>
    </w:p>
    <w:p w:rsidR="0095431F" w:rsidRPr="0095431F" w:rsidRDefault="0095431F" w:rsidP="0095431F">
      <w:pPr>
        <w:ind w:firstLine="627"/>
        <w:jc w:val="both"/>
        <w:rPr>
          <w:rFonts w:eastAsia="Times New Roman"/>
          <w:lang w:eastAsia="ru-RU"/>
        </w:rPr>
      </w:pPr>
      <w:r w:rsidRPr="0095431F">
        <w:rPr>
          <w:rFonts w:eastAsia="Times New Roman"/>
          <w:lang w:eastAsia="ru-RU"/>
        </w:rPr>
        <w:t xml:space="preserve">З метою сприяння розвитку підприємницької діяльності, </w:t>
      </w:r>
      <w:r w:rsidR="007B3F23" w:rsidRPr="0095431F">
        <w:rPr>
          <w:rFonts w:eastAsia="Times New Roman"/>
          <w:lang w:eastAsia="ru-RU"/>
        </w:rPr>
        <w:t>створення нових робочих місць</w:t>
      </w:r>
      <w:r w:rsidR="007B3F23">
        <w:rPr>
          <w:rFonts w:eastAsia="Times New Roman"/>
          <w:lang w:val="uk-UA" w:eastAsia="ru-RU"/>
        </w:rPr>
        <w:t>,</w:t>
      </w:r>
      <w:r w:rsidR="007B3F23" w:rsidRPr="0095431F">
        <w:rPr>
          <w:rFonts w:eastAsia="Times New Roman"/>
          <w:lang w:eastAsia="ru-RU"/>
        </w:rPr>
        <w:t xml:space="preserve"> </w:t>
      </w:r>
      <w:r w:rsidRPr="0095431F">
        <w:rPr>
          <w:rFonts w:eastAsia="Times New Roman"/>
          <w:lang w:eastAsia="ru-RU"/>
        </w:rPr>
        <w:t>надання фінансової підтримки суб’єктам господарювання міста, у т.ч для жінок, у травні 2019 року вже вдруге проведено конкурсний відбір проєктів стартапів на умовах інноваційності. За результатами засідань конкурсної комісії серед 23 представлених проєктів для фінансування обрано 7 на загальну суму 325,0 тис.грн.</w:t>
      </w:r>
    </w:p>
    <w:p w:rsidR="0095431F" w:rsidRPr="0095431F" w:rsidRDefault="0095431F" w:rsidP="0095431F">
      <w:pPr>
        <w:ind w:firstLine="627"/>
        <w:jc w:val="both"/>
        <w:rPr>
          <w:rFonts w:eastAsia="Times New Roman"/>
          <w:lang w:eastAsia="ru-RU"/>
        </w:rPr>
      </w:pPr>
      <w:r w:rsidRPr="0095431F">
        <w:rPr>
          <w:rFonts w:eastAsia="Times New Roman"/>
          <w:lang w:eastAsia="ru-RU"/>
        </w:rPr>
        <w:t xml:space="preserve">З метою проведення роз’яснювальної роботи </w:t>
      </w:r>
      <w:r w:rsidR="00C5553F">
        <w:rPr>
          <w:rFonts w:eastAsia="Times New Roman"/>
          <w:lang w:val="uk-UA" w:eastAsia="ru-RU"/>
        </w:rPr>
        <w:t>з</w:t>
      </w:r>
      <w:r w:rsidRPr="0095431F">
        <w:rPr>
          <w:rFonts w:eastAsia="Times New Roman"/>
          <w:lang w:eastAsia="ru-RU"/>
        </w:rPr>
        <w:t xml:space="preserve"> впровадження системи електронних публічних закупівель "ProZorro" органі</w:t>
      </w:r>
      <w:r w:rsidR="00C5553F">
        <w:rPr>
          <w:rFonts w:eastAsia="Times New Roman"/>
          <w:lang w:val="uk-UA" w:eastAsia="ru-RU"/>
        </w:rPr>
        <w:t>зовано</w:t>
      </w:r>
      <w:r w:rsidRPr="0095431F">
        <w:rPr>
          <w:rFonts w:eastAsia="Times New Roman"/>
          <w:lang w:eastAsia="ru-RU"/>
        </w:rPr>
        <w:t xml:space="preserve"> та проведен</w:t>
      </w:r>
      <w:r w:rsidR="00C5553F">
        <w:rPr>
          <w:rFonts w:eastAsia="Times New Roman"/>
          <w:lang w:val="uk-UA" w:eastAsia="ru-RU"/>
        </w:rPr>
        <w:t>о</w:t>
      </w:r>
      <w:r w:rsidRPr="0095431F">
        <w:rPr>
          <w:rFonts w:eastAsia="Times New Roman"/>
          <w:lang w:eastAsia="ru-RU"/>
        </w:rPr>
        <w:t xml:space="preserve"> семінар</w:t>
      </w:r>
      <w:r w:rsidR="00C5553F">
        <w:rPr>
          <w:rFonts w:eastAsia="Times New Roman"/>
          <w:lang w:val="uk-UA" w:eastAsia="ru-RU"/>
        </w:rPr>
        <w:t>и</w:t>
      </w:r>
      <w:r w:rsidRPr="0095431F">
        <w:rPr>
          <w:rFonts w:eastAsia="Times New Roman"/>
          <w:lang w:eastAsia="ru-RU"/>
        </w:rPr>
        <w:t>-навчан</w:t>
      </w:r>
      <w:r w:rsidR="00C5553F">
        <w:rPr>
          <w:rFonts w:eastAsia="Times New Roman"/>
          <w:lang w:val="uk-UA" w:eastAsia="ru-RU"/>
        </w:rPr>
        <w:t>ня</w:t>
      </w:r>
      <w:r w:rsidRPr="0095431F">
        <w:rPr>
          <w:rFonts w:eastAsia="Times New Roman"/>
          <w:lang w:eastAsia="ru-RU"/>
        </w:rPr>
        <w:t xml:space="preserve"> щодо покращення результатів роботи в системі ProZorro. Зокрема, протягом 2019 року спільно з Центром компетенцій ProZorro в Івано-Франківській області організовано два навчальні семінари для структурних підрозділів виконавчого комітету Івано-Франківської міської ради та комунальних підприємств </w:t>
      </w:r>
      <w:r w:rsidR="007E6300">
        <w:rPr>
          <w:rFonts w:eastAsia="Times New Roman"/>
          <w:lang w:val="uk-UA" w:eastAsia="ru-RU"/>
        </w:rPr>
        <w:t>щодо</w:t>
      </w:r>
      <w:r w:rsidR="007E6300">
        <w:rPr>
          <w:rFonts w:eastAsia="Times New Roman"/>
          <w:lang w:eastAsia="ru-RU"/>
        </w:rPr>
        <w:t xml:space="preserve"> впровадженн</w:t>
      </w:r>
      <w:r w:rsidR="007E6300">
        <w:rPr>
          <w:rFonts w:eastAsia="Times New Roman"/>
          <w:lang w:val="uk-UA" w:eastAsia="ru-RU"/>
        </w:rPr>
        <w:t>я</w:t>
      </w:r>
      <w:r w:rsidR="00C5553F">
        <w:rPr>
          <w:rFonts w:eastAsia="Times New Roman"/>
          <w:lang w:eastAsia="ru-RU"/>
        </w:rPr>
        <w:t xml:space="preserve"> системи ProZorro та практичні</w:t>
      </w:r>
      <w:r w:rsidRPr="0095431F">
        <w:rPr>
          <w:rFonts w:eastAsia="Times New Roman"/>
          <w:lang w:eastAsia="ru-RU"/>
        </w:rPr>
        <w:t xml:space="preserve"> робот</w:t>
      </w:r>
      <w:r w:rsidR="00C5553F">
        <w:rPr>
          <w:rFonts w:eastAsia="Times New Roman"/>
          <w:lang w:val="uk-UA" w:eastAsia="ru-RU"/>
        </w:rPr>
        <w:t>и</w:t>
      </w:r>
      <w:r w:rsidRPr="0095431F">
        <w:rPr>
          <w:rFonts w:eastAsia="Times New Roman"/>
          <w:lang w:eastAsia="ru-RU"/>
        </w:rPr>
        <w:t xml:space="preserve"> з електронними майданчиками. </w:t>
      </w:r>
    </w:p>
    <w:p w:rsidR="0095431F" w:rsidRPr="0095431F" w:rsidRDefault="0095431F" w:rsidP="0095431F">
      <w:pPr>
        <w:ind w:firstLine="627"/>
        <w:jc w:val="both"/>
        <w:rPr>
          <w:rFonts w:eastAsia="Times New Roman"/>
          <w:lang w:eastAsia="ru-RU"/>
        </w:rPr>
      </w:pPr>
      <w:r w:rsidRPr="0095431F">
        <w:rPr>
          <w:rFonts w:eastAsia="Times New Roman"/>
          <w:lang w:eastAsia="ru-RU"/>
        </w:rPr>
        <w:t xml:space="preserve">Крім цього, управлінням економічного та інтеграційного </w:t>
      </w:r>
      <w:proofErr w:type="gramStart"/>
      <w:r w:rsidRPr="0095431F">
        <w:rPr>
          <w:rFonts w:eastAsia="Times New Roman"/>
          <w:lang w:eastAsia="ru-RU"/>
        </w:rPr>
        <w:t>розвитку  спільно</w:t>
      </w:r>
      <w:proofErr w:type="gramEnd"/>
      <w:r w:rsidRPr="0095431F">
        <w:rPr>
          <w:rFonts w:eastAsia="Times New Roman"/>
          <w:lang w:eastAsia="ru-RU"/>
        </w:rPr>
        <w:t xml:space="preserve"> з ГО "Центр "Антикорупційна платформа" у 2019 році організовано два безкоштовні семінари з питань законодавчих нововведень в системі ProZorro для представників малого й середнього бізнесу - промислових підприємств та підприємців міста. Черговий семінар було проведено 26.09.2019р.</w:t>
      </w:r>
    </w:p>
    <w:p w:rsidR="0095431F" w:rsidRPr="0095431F" w:rsidRDefault="0095431F" w:rsidP="0095431F">
      <w:pPr>
        <w:ind w:firstLine="627"/>
        <w:jc w:val="both"/>
        <w:rPr>
          <w:rFonts w:eastAsia="Times New Roman"/>
          <w:lang w:eastAsia="ru-RU"/>
        </w:rPr>
      </w:pPr>
      <w:r w:rsidRPr="0095431F">
        <w:rPr>
          <w:rFonts w:eastAsia="Times New Roman"/>
          <w:lang w:eastAsia="ru-RU"/>
        </w:rPr>
        <w:lastRenderedPageBreak/>
        <w:t>На офіційній веб-сторінці міста Івано-Франківська та</w:t>
      </w:r>
      <w:r w:rsidR="006E49BA">
        <w:rPr>
          <w:rFonts w:eastAsia="Times New Roman"/>
          <w:lang w:val="uk-UA" w:eastAsia="ru-RU"/>
        </w:rPr>
        <w:t xml:space="preserve"> в</w:t>
      </w:r>
      <w:r w:rsidRPr="0095431F">
        <w:rPr>
          <w:rFonts w:eastAsia="Times New Roman"/>
          <w:lang w:eastAsia="ru-RU"/>
        </w:rPr>
        <w:t xml:space="preserve"> соціальній мережі ФБ постійно висвітлюються новини та події, що стосуються започаткування та ведення підприємницької діяльності, нововведення у податковому законодавстві, впровадження кращих практик та цікавих старт-апів у сфері малого бізнесу тощо. Також на зазначеній веб-сторінці суб’єкти господарювання мають змогу ознайомитися з інформацією про діючі національні, міжнародні грантові конкурси, програми та умови участі в них.</w:t>
      </w:r>
    </w:p>
    <w:p w:rsidR="0095431F" w:rsidRPr="0095431F" w:rsidRDefault="0095431F" w:rsidP="0095431F">
      <w:pPr>
        <w:ind w:firstLine="627"/>
        <w:jc w:val="both"/>
        <w:rPr>
          <w:rFonts w:eastAsia="Times New Roman"/>
          <w:lang w:eastAsia="ru-RU"/>
        </w:rPr>
      </w:pPr>
      <w:r w:rsidRPr="0095431F">
        <w:rPr>
          <w:rFonts w:eastAsia="Times New Roman"/>
          <w:lang w:eastAsia="ru-RU"/>
        </w:rPr>
        <w:t>Крім цього, інформаційна підтримка бізнесу у м. Івано-Франківську здійснюється за допомогою мобільного додатку для смартфонів та планшетів, який містить інформацію про місто Івано-Франківськ, виконавчу владу, адміністративні послуги тощо.</w:t>
      </w:r>
    </w:p>
    <w:p w:rsidR="007B5FC8" w:rsidRPr="007B5FC8" w:rsidRDefault="007B5FC8" w:rsidP="007B5FC8">
      <w:pPr>
        <w:ind w:firstLine="708"/>
        <w:jc w:val="both"/>
        <w:rPr>
          <w:rFonts w:eastAsia="Times New Roman" w:cs="Times New Roman"/>
          <w:color w:val="0D0D0D"/>
          <w:highlight w:val="yellow"/>
          <w:lang w:val="uk-UA" w:eastAsia="ru-RU"/>
        </w:rPr>
      </w:pPr>
    </w:p>
    <w:p w:rsidR="007B5FC8" w:rsidRPr="004E5BF9" w:rsidRDefault="007B5FC8" w:rsidP="007B5FC8">
      <w:pPr>
        <w:tabs>
          <w:tab w:val="left" w:pos="-1800"/>
        </w:tabs>
        <w:ind w:firstLine="700"/>
        <w:jc w:val="both"/>
        <w:outlineLvl w:val="0"/>
        <w:rPr>
          <w:i/>
          <w:lang w:val="uk-UA"/>
        </w:rPr>
      </w:pPr>
      <w:r w:rsidRPr="004E5BF9">
        <w:rPr>
          <w:i/>
          <w:lang w:val="uk-UA"/>
        </w:rPr>
        <w:t>3.4. Надання адміністративних послуг</w:t>
      </w:r>
    </w:p>
    <w:p w:rsidR="004E5BF9" w:rsidRDefault="007B5FC8" w:rsidP="007B5FC8">
      <w:pPr>
        <w:pStyle w:val="a7"/>
        <w:shd w:val="clear" w:color="auto" w:fill="FFFFFF"/>
        <w:tabs>
          <w:tab w:val="left" w:pos="709"/>
        </w:tabs>
        <w:spacing w:after="0"/>
        <w:ind w:left="0"/>
        <w:jc w:val="both"/>
        <w:rPr>
          <w:sz w:val="28"/>
          <w:szCs w:val="28"/>
          <w:lang w:val="uk-UA"/>
        </w:rPr>
      </w:pPr>
      <w:r w:rsidRPr="004E5BF9">
        <w:rPr>
          <w:sz w:val="28"/>
          <w:szCs w:val="28"/>
          <w:lang w:val="uk-UA"/>
        </w:rPr>
        <w:tab/>
      </w:r>
      <w:r w:rsidR="001E26D7" w:rsidRPr="004E5BF9">
        <w:rPr>
          <w:sz w:val="28"/>
          <w:szCs w:val="28"/>
        </w:rPr>
        <w:t>Станом на 30.12.2019 року у Центрі надання адміністративних послуг</w:t>
      </w:r>
      <w:r w:rsidR="001E26D7" w:rsidRPr="001E26D7">
        <w:rPr>
          <w:sz w:val="28"/>
          <w:szCs w:val="28"/>
        </w:rPr>
        <w:t xml:space="preserve"> надається 283 адміністративних та дозвільно-погоджувальних послуг. Загальна кількість послуг, наданих в управлінні адміністративних послуг, станом на 30.12.2019 року становить 102 181, надано 43 253 консультацій. За звітний період прийнято 11 330 вхідних пакетів документів для оформлення паспортів громадянина України для виїзду за кордон, 2 477 вхідних пакетів документів для оформлення паспортів громадянина України у формі ID-картки. </w:t>
      </w:r>
    </w:p>
    <w:p w:rsidR="004E5BF9" w:rsidRDefault="004E5BF9" w:rsidP="007B5FC8">
      <w:pPr>
        <w:pStyle w:val="a7"/>
        <w:shd w:val="clear" w:color="auto" w:fill="FFFFFF"/>
        <w:tabs>
          <w:tab w:val="left" w:pos="709"/>
        </w:tabs>
        <w:spacing w:after="0"/>
        <w:ind w:left="0"/>
        <w:jc w:val="both"/>
        <w:rPr>
          <w:sz w:val="28"/>
          <w:szCs w:val="28"/>
          <w:lang w:val="uk-UA"/>
        </w:rPr>
      </w:pPr>
      <w:r>
        <w:rPr>
          <w:sz w:val="28"/>
          <w:szCs w:val="28"/>
          <w:lang w:val="uk-UA"/>
        </w:rPr>
        <w:tab/>
      </w:r>
      <w:r w:rsidR="001E26D7" w:rsidRPr="001E26D7">
        <w:rPr>
          <w:sz w:val="28"/>
          <w:szCs w:val="28"/>
        </w:rPr>
        <w:t>У вересні 2019 року Центр надання адміністративних послуг розпочав прийом документів на оформлення свідоцтва про народження дитини. Дану послугу можна отримати як в головному офісі ЦНАПу</w:t>
      </w:r>
      <w:r w:rsidR="00CA6836">
        <w:rPr>
          <w:sz w:val="28"/>
          <w:szCs w:val="28"/>
          <w:lang w:val="uk-UA"/>
        </w:rPr>
        <w:t>,</w:t>
      </w:r>
      <w:r w:rsidR="001E26D7" w:rsidRPr="001E26D7">
        <w:rPr>
          <w:sz w:val="28"/>
          <w:szCs w:val="28"/>
        </w:rPr>
        <w:t xml:space="preserve"> так і в його територіальних підрозділах, відповідно до графіку роботи ЦНАПу та його територіальних підрозділів. Отримавши свідоцтво про народження дитини, її батьки, при наявності всіх документів, можуть зареєструвати місце проживанням новонародженого, зареєструвати до дошкільного навчального закладу, отримати статус багатодітної сім’ї. За даний період видано 69 свідоцтв про народження. </w:t>
      </w:r>
    </w:p>
    <w:p w:rsidR="001E26D7" w:rsidRPr="00CA6836" w:rsidRDefault="004E5BF9" w:rsidP="007B5FC8">
      <w:pPr>
        <w:pStyle w:val="a7"/>
        <w:shd w:val="clear" w:color="auto" w:fill="FFFFFF"/>
        <w:tabs>
          <w:tab w:val="left" w:pos="709"/>
        </w:tabs>
        <w:spacing w:after="0"/>
        <w:ind w:left="0"/>
        <w:jc w:val="both"/>
        <w:rPr>
          <w:sz w:val="28"/>
          <w:szCs w:val="28"/>
          <w:highlight w:val="yellow"/>
          <w:lang w:val="uk-UA"/>
        </w:rPr>
      </w:pPr>
      <w:r>
        <w:rPr>
          <w:sz w:val="28"/>
          <w:szCs w:val="28"/>
          <w:lang w:val="uk-UA"/>
        </w:rPr>
        <w:tab/>
      </w:r>
      <w:r w:rsidR="001E26D7" w:rsidRPr="001E26D7">
        <w:rPr>
          <w:sz w:val="28"/>
          <w:szCs w:val="28"/>
        </w:rPr>
        <w:t>8 жовтня 2019 р. відкрит</w:t>
      </w:r>
      <w:r>
        <w:rPr>
          <w:sz w:val="28"/>
          <w:szCs w:val="28"/>
          <w:lang w:val="uk-UA"/>
        </w:rPr>
        <w:t>о</w:t>
      </w:r>
      <w:r w:rsidR="001E26D7" w:rsidRPr="001E26D7">
        <w:rPr>
          <w:sz w:val="28"/>
          <w:szCs w:val="28"/>
        </w:rPr>
        <w:t xml:space="preserve"> сектор з оформлення посвідчень водія та реєстрації транспортних засобів. За кошти міського бюджету закуплено о</w:t>
      </w:r>
      <w:r w:rsidR="00CA6836">
        <w:rPr>
          <w:sz w:val="28"/>
          <w:szCs w:val="28"/>
        </w:rPr>
        <w:t>бладнання вартістю 200 тис. грн</w:t>
      </w:r>
      <w:r w:rsidR="001E26D7" w:rsidRPr="001E26D7">
        <w:rPr>
          <w:sz w:val="28"/>
          <w:szCs w:val="28"/>
        </w:rPr>
        <w:t xml:space="preserve"> для друку водійських посвідчень та техпаспортів, видачі номер</w:t>
      </w:r>
      <w:r w:rsidR="00CA6836">
        <w:rPr>
          <w:sz w:val="28"/>
          <w:szCs w:val="28"/>
        </w:rPr>
        <w:t>них знаків. За даний період бул</w:t>
      </w:r>
      <w:r w:rsidR="001E26D7" w:rsidRPr="001E26D7">
        <w:rPr>
          <w:sz w:val="28"/>
          <w:szCs w:val="28"/>
        </w:rPr>
        <w:t>о оформлено 201 посвідчення водія та перереєстровано 2 транспортні засоби у зв’язку зі встановленням газобалонного обладнання</w:t>
      </w:r>
      <w:r w:rsidR="00CA6836">
        <w:rPr>
          <w:sz w:val="28"/>
          <w:szCs w:val="28"/>
          <w:lang w:val="uk-UA"/>
        </w:rPr>
        <w:t>.</w:t>
      </w:r>
    </w:p>
    <w:p w:rsidR="00CA6836" w:rsidRDefault="004E5BF9" w:rsidP="007B5FC8">
      <w:pPr>
        <w:pStyle w:val="a7"/>
        <w:shd w:val="clear" w:color="auto" w:fill="FFFFFF"/>
        <w:tabs>
          <w:tab w:val="left" w:pos="709"/>
        </w:tabs>
        <w:spacing w:after="0"/>
        <w:ind w:left="0"/>
        <w:jc w:val="both"/>
        <w:rPr>
          <w:sz w:val="28"/>
          <w:szCs w:val="28"/>
          <w:lang w:val="uk-UA"/>
        </w:rPr>
      </w:pPr>
      <w:r>
        <w:rPr>
          <w:sz w:val="28"/>
          <w:szCs w:val="28"/>
          <w:lang w:val="uk-UA"/>
        </w:rPr>
        <w:tab/>
      </w:r>
      <w:r w:rsidRPr="004E5BF9">
        <w:rPr>
          <w:sz w:val="28"/>
          <w:szCs w:val="28"/>
        </w:rPr>
        <w:t xml:space="preserve">За звітний період за допомогою сервісу </w:t>
      </w:r>
      <w:r w:rsidR="009B13F9">
        <w:rPr>
          <w:sz w:val="28"/>
          <w:szCs w:val="28"/>
        </w:rPr>
        <w:t>"</w:t>
      </w:r>
      <w:r w:rsidRPr="004E5BF9">
        <w:rPr>
          <w:sz w:val="28"/>
          <w:szCs w:val="28"/>
        </w:rPr>
        <w:t>Мобільний адміністратор</w:t>
      </w:r>
      <w:r w:rsidR="009B13F9">
        <w:rPr>
          <w:sz w:val="28"/>
          <w:szCs w:val="28"/>
        </w:rPr>
        <w:t>"</w:t>
      </w:r>
      <w:r w:rsidRPr="004E5BF9">
        <w:rPr>
          <w:sz w:val="28"/>
          <w:szCs w:val="28"/>
        </w:rPr>
        <w:t xml:space="preserve"> було надано 207 адміністративних послуг.</w:t>
      </w:r>
    </w:p>
    <w:p w:rsidR="004E5BF9" w:rsidRDefault="004E5BF9" w:rsidP="007B5FC8">
      <w:pPr>
        <w:pStyle w:val="a7"/>
        <w:shd w:val="clear" w:color="auto" w:fill="FFFFFF"/>
        <w:tabs>
          <w:tab w:val="left" w:pos="709"/>
        </w:tabs>
        <w:spacing w:after="0"/>
        <w:ind w:left="0"/>
        <w:jc w:val="both"/>
        <w:rPr>
          <w:sz w:val="28"/>
          <w:szCs w:val="28"/>
          <w:lang w:val="uk-UA"/>
        </w:rPr>
      </w:pPr>
      <w:r>
        <w:rPr>
          <w:sz w:val="28"/>
          <w:szCs w:val="28"/>
          <w:lang w:val="uk-UA"/>
        </w:rPr>
        <w:tab/>
      </w:r>
      <w:r w:rsidRPr="004E5BF9">
        <w:rPr>
          <w:sz w:val="28"/>
          <w:szCs w:val="28"/>
        </w:rPr>
        <w:t>Вирішення питань соціального захисту та підтримки демобілізованих учасників АТО є одним із першочергових завдань</w:t>
      </w:r>
      <w:r>
        <w:rPr>
          <w:sz w:val="28"/>
          <w:szCs w:val="28"/>
          <w:lang w:val="uk-UA"/>
        </w:rPr>
        <w:t>. У</w:t>
      </w:r>
      <w:r w:rsidRPr="004E5BF9">
        <w:rPr>
          <w:sz w:val="28"/>
          <w:szCs w:val="28"/>
        </w:rPr>
        <w:t xml:space="preserve">часники АТО можуть стати на квартирний облік та облік громадян, які бажають отримати земельну ділянку під індивідуальне будівництво. При цьому адміністратори роблять безкоштовно копії належних документів та замовляють довідки для оформлення даних послуг. </w:t>
      </w:r>
    </w:p>
    <w:p w:rsidR="004E5BF9" w:rsidRDefault="004E5BF9" w:rsidP="007B5FC8">
      <w:pPr>
        <w:pStyle w:val="a7"/>
        <w:shd w:val="clear" w:color="auto" w:fill="FFFFFF"/>
        <w:tabs>
          <w:tab w:val="left" w:pos="709"/>
        </w:tabs>
        <w:spacing w:after="0"/>
        <w:ind w:left="0"/>
        <w:jc w:val="both"/>
        <w:rPr>
          <w:sz w:val="28"/>
          <w:szCs w:val="28"/>
          <w:lang w:val="uk-UA"/>
        </w:rPr>
      </w:pPr>
      <w:r>
        <w:rPr>
          <w:sz w:val="28"/>
          <w:szCs w:val="28"/>
          <w:lang w:val="uk-UA"/>
        </w:rPr>
        <w:tab/>
      </w:r>
      <w:r w:rsidRPr="004E5BF9">
        <w:rPr>
          <w:sz w:val="28"/>
          <w:szCs w:val="28"/>
        </w:rPr>
        <w:t xml:space="preserve">Мешканці міста Івано-Франківська можуть замовити послуги в режимі он-лайн на сайті www.cnap.if.ua (розділ </w:t>
      </w:r>
      <w:r w:rsidR="009B13F9">
        <w:rPr>
          <w:sz w:val="28"/>
          <w:szCs w:val="28"/>
        </w:rPr>
        <w:t>"</w:t>
      </w:r>
      <w:r w:rsidRPr="004E5BF9">
        <w:rPr>
          <w:sz w:val="28"/>
          <w:szCs w:val="28"/>
        </w:rPr>
        <w:t>Електронні послуги</w:t>
      </w:r>
      <w:r w:rsidR="009B13F9">
        <w:rPr>
          <w:sz w:val="28"/>
          <w:szCs w:val="28"/>
        </w:rPr>
        <w:t>"</w:t>
      </w:r>
      <w:r w:rsidRPr="004E5BF9">
        <w:rPr>
          <w:sz w:val="28"/>
          <w:szCs w:val="28"/>
        </w:rPr>
        <w:t xml:space="preserve">) без </w:t>
      </w:r>
      <w:r w:rsidRPr="004E5BF9">
        <w:rPr>
          <w:sz w:val="28"/>
          <w:szCs w:val="28"/>
        </w:rPr>
        <w:lastRenderedPageBreak/>
        <w:t xml:space="preserve">відвідування Центру надання адміністративних послуг м. Івано-Франківська. Результат послуги замовники отримують особисто у Центрі надання адміністративних послуг після отримання смс-повідомлення про виконання та пред’явлення документа, що посвідчує особу. На даний час мешканцям міста Івано-Франківська доступно 34 адміністративні послуги, які надаються структурними підрозділами виконавчого комітету Івано-Франківської міської ради. </w:t>
      </w:r>
    </w:p>
    <w:p w:rsidR="001E26D7" w:rsidRDefault="004E5BF9" w:rsidP="007B5FC8">
      <w:pPr>
        <w:pStyle w:val="a7"/>
        <w:shd w:val="clear" w:color="auto" w:fill="FFFFFF"/>
        <w:tabs>
          <w:tab w:val="left" w:pos="709"/>
        </w:tabs>
        <w:spacing w:after="0"/>
        <w:ind w:left="0"/>
        <w:jc w:val="both"/>
        <w:rPr>
          <w:sz w:val="28"/>
          <w:szCs w:val="28"/>
          <w:lang w:val="uk-UA"/>
        </w:rPr>
      </w:pPr>
      <w:r>
        <w:rPr>
          <w:sz w:val="28"/>
          <w:szCs w:val="28"/>
          <w:lang w:val="uk-UA"/>
        </w:rPr>
        <w:tab/>
      </w:r>
      <w:r w:rsidRPr="004E5BF9">
        <w:rPr>
          <w:sz w:val="28"/>
          <w:szCs w:val="28"/>
        </w:rPr>
        <w:t xml:space="preserve">Додатково на сайті ЦНАПу доступний сервіс </w:t>
      </w:r>
      <w:r w:rsidR="009B13F9">
        <w:rPr>
          <w:sz w:val="28"/>
          <w:szCs w:val="28"/>
        </w:rPr>
        <w:t>"</w:t>
      </w:r>
      <w:r w:rsidRPr="004E5BF9">
        <w:rPr>
          <w:sz w:val="28"/>
          <w:szCs w:val="28"/>
        </w:rPr>
        <w:t>Державні послуги</w:t>
      </w:r>
      <w:r w:rsidR="009B13F9">
        <w:rPr>
          <w:sz w:val="28"/>
          <w:szCs w:val="28"/>
        </w:rPr>
        <w:t>"</w:t>
      </w:r>
      <w:r w:rsidRPr="004E5BF9">
        <w:rPr>
          <w:sz w:val="28"/>
          <w:szCs w:val="28"/>
        </w:rPr>
        <w:t>, де можна замовити 33 адміністративні послуги. Ідентифікація клієнта здійснюється за технологіями BankID, ЕЦП та MobileID . Також дані послуги доступні на порталі державних послуг https://e-gov.org.ua. За звітний період було надано 5 168 он-лайн послуг.</w:t>
      </w:r>
    </w:p>
    <w:p w:rsidR="004E5BF9" w:rsidRDefault="004E5BF9" w:rsidP="007B5FC8">
      <w:pPr>
        <w:pStyle w:val="a7"/>
        <w:shd w:val="clear" w:color="auto" w:fill="FFFFFF"/>
        <w:tabs>
          <w:tab w:val="left" w:pos="709"/>
        </w:tabs>
        <w:spacing w:after="0"/>
        <w:ind w:left="0"/>
        <w:jc w:val="both"/>
        <w:rPr>
          <w:sz w:val="28"/>
          <w:szCs w:val="28"/>
          <w:lang w:val="uk-UA"/>
        </w:rPr>
      </w:pPr>
      <w:r>
        <w:rPr>
          <w:sz w:val="28"/>
          <w:szCs w:val="28"/>
          <w:lang w:val="uk-UA"/>
        </w:rPr>
        <w:tab/>
      </w:r>
      <w:r w:rsidRPr="004E5BF9">
        <w:rPr>
          <w:sz w:val="28"/>
          <w:szCs w:val="28"/>
        </w:rPr>
        <w:t xml:space="preserve">Продовжує функціонувати інформаційно-консультаційний пункт для іноземців, що був відкритий у рамках реалізації проекту </w:t>
      </w:r>
      <w:r w:rsidR="009B13F9">
        <w:rPr>
          <w:sz w:val="28"/>
          <w:szCs w:val="28"/>
        </w:rPr>
        <w:t>"</w:t>
      </w:r>
      <w:r w:rsidRPr="004E5BF9">
        <w:rPr>
          <w:sz w:val="28"/>
          <w:szCs w:val="28"/>
        </w:rPr>
        <w:t>Покращення надання адміністративних послуг населенню транскордонних регіонів шляхом створення мережі центрів надання адміністративних послуг та розвитку співпраці Луцького Центру надання адміністративних послуг, Івано-Франківського Центру надання адміністративних послуг та Люблінського Бюро обслуговування мешканців</w:t>
      </w:r>
      <w:r w:rsidR="009B13F9">
        <w:rPr>
          <w:sz w:val="28"/>
          <w:szCs w:val="28"/>
        </w:rPr>
        <w:t>"</w:t>
      </w:r>
      <w:r w:rsidRPr="004E5BF9">
        <w:rPr>
          <w:sz w:val="28"/>
          <w:szCs w:val="28"/>
        </w:rPr>
        <w:t xml:space="preserve"> за фінансової підтримки Європейського Союзу. За звітний період до ЦНАП м.Івано-Фанківська зверну</w:t>
      </w:r>
      <w:r>
        <w:rPr>
          <w:sz w:val="28"/>
          <w:szCs w:val="28"/>
          <w:lang w:val="uk-UA"/>
        </w:rPr>
        <w:t>в</w:t>
      </w:r>
      <w:r w:rsidR="00CA6836">
        <w:rPr>
          <w:sz w:val="28"/>
          <w:szCs w:val="28"/>
        </w:rPr>
        <w:t>ся 1</w:t>
      </w:r>
      <w:r w:rsidRPr="004E5BF9">
        <w:rPr>
          <w:sz w:val="28"/>
          <w:szCs w:val="28"/>
        </w:rPr>
        <w:t>851 іноземний громадянин для отримання адміністративних та дозвільно-погоджувальних послуг (реєстрація місця проживання, зняття з реєстрації місця проживання, реєстрація бізнесу, загальна інформація).</w:t>
      </w:r>
    </w:p>
    <w:p w:rsidR="004E5BF9" w:rsidRPr="004E5BF9" w:rsidRDefault="004E5BF9" w:rsidP="007B5FC8">
      <w:pPr>
        <w:pStyle w:val="a7"/>
        <w:shd w:val="clear" w:color="auto" w:fill="FFFFFF"/>
        <w:tabs>
          <w:tab w:val="left" w:pos="709"/>
        </w:tabs>
        <w:spacing w:after="0"/>
        <w:ind w:left="0"/>
        <w:jc w:val="both"/>
        <w:rPr>
          <w:sz w:val="28"/>
          <w:szCs w:val="28"/>
          <w:lang w:val="uk-UA"/>
        </w:rPr>
      </w:pPr>
      <w:r w:rsidRPr="004E5BF9">
        <w:rPr>
          <w:sz w:val="28"/>
          <w:szCs w:val="28"/>
          <w:lang w:val="uk-UA"/>
        </w:rPr>
        <w:tab/>
      </w:r>
      <w:r w:rsidRPr="004E5BF9">
        <w:rPr>
          <w:sz w:val="28"/>
          <w:szCs w:val="28"/>
        </w:rPr>
        <w:t xml:space="preserve">ЦНАП м. Івано-Франківська проводить щомісячний моніторинг якості надання адміністративних послуг. Відвідувачі ЦНАП після обслуговування за допомогою талону електронної черги вкидають його у дві ємності </w:t>
      </w:r>
      <w:r w:rsidR="009B13F9">
        <w:rPr>
          <w:sz w:val="28"/>
          <w:szCs w:val="28"/>
        </w:rPr>
        <w:t>"</w:t>
      </w:r>
      <w:r w:rsidRPr="004E5BF9">
        <w:rPr>
          <w:sz w:val="28"/>
          <w:szCs w:val="28"/>
        </w:rPr>
        <w:t>Задоволені якістю обслуговування</w:t>
      </w:r>
      <w:r w:rsidR="009B13F9">
        <w:rPr>
          <w:sz w:val="28"/>
          <w:szCs w:val="28"/>
        </w:rPr>
        <w:t>"</w:t>
      </w:r>
      <w:r w:rsidRPr="004E5BF9">
        <w:rPr>
          <w:sz w:val="28"/>
          <w:szCs w:val="28"/>
        </w:rPr>
        <w:t xml:space="preserve"> та </w:t>
      </w:r>
      <w:r w:rsidR="009B13F9">
        <w:rPr>
          <w:sz w:val="28"/>
          <w:szCs w:val="28"/>
        </w:rPr>
        <w:t>"</w:t>
      </w:r>
      <w:r w:rsidRPr="004E5BF9">
        <w:rPr>
          <w:sz w:val="28"/>
          <w:szCs w:val="28"/>
        </w:rPr>
        <w:t>Не задоволені якістю обслуговування</w:t>
      </w:r>
      <w:r w:rsidR="009B13F9">
        <w:rPr>
          <w:sz w:val="28"/>
          <w:szCs w:val="28"/>
        </w:rPr>
        <w:t>"</w:t>
      </w:r>
      <w:r w:rsidRPr="004E5BF9">
        <w:rPr>
          <w:sz w:val="28"/>
          <w:szCs w:val="28"/>
        </w:rPr>
        <w:t xml:space="preserve">. </w:t>
      </w:r>
      <w:r>
        <w:rPr>
          <w:sz w:val="28"/>
          <w:szCs w:val="28"/>
          <w:lang w:val="uk-UA"/>
        </w:rPr>
        <w:t xml:space="preserve">Впродовж 2019 року </w:t>
      </w:r>
      <w:r w:rsidRPr="004E5BF9">
        <w:rPr>
          <w:sz w:val="28"/>
          <w:szCs w:val="28"/>
        </w:rPr>
        <w:t>якість надання адміністративних та дозвільно-погоджувальних послуг оцінило 27515 відвідувачів</w:t>
      </w:r>
      <w:r>
        <w:rPr>
          <w:sz w:val="28"/>
          <w:szCs w:val="28"/>
          <w:lang w:val="uk-UA"/>
        </w:rPr>
        <w:t xml:space="preserve">, з них </w:t>
      </w:r>
      <w:r w:rsidRPr="004E5BF9">
        <w:rPr>
          <w:sz w:val="28"/>
          <w:szCs w:val="28"/>
        </w:rPr>
        <w:t xml:space="preserve"> </w:t>
      </w:r>
      <w:r>
        <w:rPr>
          <w:sz w:val="28"/>
          <w:szCs w:val="28"/>
          <w:lang w:val="uk-UA"/>
        </w:rPr>
        <w:t>п</w:t>
      </w:r>
      <w:r w:rsidRPr="004E5BF9">
        <w:rPr>
          <w:sz w:val="28"/>
          <w:szCs w:val="28"/>
        </w:rPr>
        <w:t xml:space="preserve">озитивно </w:t>
      </w:r>
      <w:r>
        <w:rPr>
          <w:sz w:val="28"/>
          <w:szCs w:val="28"/>
          <w:lang w:val="uk-UA"/>
        </w:rPr>
        <w:t>-</w:t>
      </w:r>
      <w:r w:rsidR="00CA6836">
        <w:rPr>
          <w:sz w:val="28"/>
          <w:szCs w:val="28"/>
        </w:rPr>
        <w:t xml:space="preserve"> 2 329, негативно – 1</w:t>
      </w:r>
      <w:r w:rsidRPr="004E5BF9">
        <w:rPr>
          <w:sz w:val="28"/>
          <w:szCs w:val="28"/>
        </w:rPr>
        <w:t>186 відвідувачів</w:t>
      </w:r>
      <w:r>
        <w:rPr>
          <w:sz w:val="28"/>
          <w:szCs w:val="28"/>
          <w:lang w:val="uk-UA"/>
        </w:rPr>
        <w:t>.</w:t>
      </w:r>
    </w:p>
    <w:p w:rsidR="004E5BF9" w:rsidRPr="004E5BF9" w:rsidRDefault="004E5BF9" w:rsidP="007B5FC8">
      <w:pPr>
        <w:pStyle w:val="a7"/>
        <w:shd w:val="clear" w:color="auto" w:fill="FFFFFF"/>
        <w:tabs>
          <w:tab w:val="left" w:pos="709"/>
        </w:tabs>
        <w:spacing w:after="0"/>
        <w:ind w:left="0"/>
        <w:jc w:val="both"/>
        <w:rPr>
          <w:sz w:val="28"/>
          <w:szCs w:val="28"/>
          <w:lang w:val="uk-UA"/>
        </w:rPr>
      </w:pPr>
    </w:p>
    <w:p w:rsidR="007B5FC8" w:rsidRPr="00E65C6A" w:rsidRDefault="007B5FC8" w:rsidP="007B5FC8">
      <w:pPr>
        <w:ind w:firstLine="700"/>
        <w:jc w:val="both"/>
        <w:outlineLvl w:val="0"/>
        <w:rPr>
          <w:i/>
          <w:lang w:val="uk-UA"/>
        </w:rPr>
      </w:pPr>
      <w:r w:rsidRPr="00E65C6A">
        <w:rPr>
          <w:i/>
          <w:lang w:val="uk-UA"/>
        </w:rPr>
        <w:t>3.5 Промоція міста та розвиток туристичної галузі</w:t>
      </w:r>
    </w:p>
    <w:p w:rsidR="00C717CD" w:rsidRDefault="00F91D93" w:rsidP="007569A4">
      <w:pPr>
        <w:ind w:firstLine="697"/>
        <w:jc w:val="both"/>
        <w:rPr>
          <w:rFonts w:eastAsia="Times New Roman" w:cs="Times New Roman"/>
          <w:lang w:val="uk-UA" w:eastAsia="uk-UA"/>
        </w:rPr>
      </w:pPr>
      <w:r>
        <w:rPr>
          <w:rFonts w:eastAsia="Times New Roman" w:cs="Times New Roman"/>
          <w:lang w:val="uk-UA" w:eastAsia="uk-UA"/>
        </w:rPr>
        <w:t>У 2019 році м</w:t>
      </w:r>
      <w:r w:rsidR="00C717CD" w:rsidRPr="00C717CD">
        <w:rPr>
          <w:rFonts w:eastAsia="Times New Roman" w:cs="Times New Roman"/>
          <w:lang w:eastAsia="uk-UA"/>
        </w:rPr>
        <w:t>істо Івано-Франківськ отрима</w:t>
      </w:r>
      <w:r w:rsidR="00D044E7">
        <w:rPr>
          <w:rFonts w:eastAsia="Times New Roman" w:cs="Times New Roman"/>
          <w:lang w:val="uk-UA" w:eastAsia="uk-UA"/>
        </w:rPr>
        <w:t>ло</w:t>
      </w:r>
      <w:r w:rsidR="00A10E6C">
        <w:rPr>
          <w:rFonts w:eastAsia="Times New Roman" w:cs="Times New Roman"/>
          <w:lang w:val="uk-UA" w:eastAsia="uk-UA"/>
        </w:rPr>
        <w:t xml:space="preserve"> </w:t>
      </w:r>
      <w:r w:rsidR="00C717CD" w:rsidRPr="00C717CD">
        <w:rPr>
          <w:rFonts w:eastAsia="Times New Roman" w:cs="Times New Roman"/>
          <w:lang w:eastAsia="uk-UA"/>
        </w:rPr>
        <w:t>нагороду за ініціативність у сфері туризму</w:t>
      </w:r>
      <w:r w:rsidR="00C717CD" w:rsidRPr="00C717CD">
        <w:rPr>
          <w:rFonts w:eastAsia="Times New Roman" w:cs="Times New Roman"/>
          <w:lang w:val="uk-UA" w:eastAsia="uk-UA"/>
        </w:rPr>
        <w:t xml:space="preserve">. </w:t>
      </w:r>
      <w:r>
        <w:rPr>
          <w:rFonts w:eastAsia="Times New Roman" w:cs="Times New Roman"/>
          <w:lang w:val="uk-UA" w:eastAsia="uk-UA"/>
        </w:rPr>
        <w:t>Т</w:t>
      </w:r>
      <w:r w:rsidR="00C717CD" w:rsidRPr="00C717CD">
        <w:rPr>
          <w:rFonts w:eastAsia="Times New Roman" w:cs="Times New Roman"/>
          <w:lang w:eastAsia="uk-UA"/>
        </w:rPr>
        <w:t>аку нагороду вручали вперше у комітеті Верховної Ради України з питань сім’ї, молодіжної політики, спорту і туризму. Усі міста оцінювалися за 15 критеріями.</w:t>
      </w:r>
    </w:p>
    <w:p w:rsidR="00E65C6A" w:rsidRPr="00422E41" w:rsidRDefault="00E65C6A" w:rsidP="00F91D93">
      <w:pPr>
        <w:ind w:firstLine="709"/>
        <w:jc w:val="both"/>
      </w:pPr>
      <w:r w:rsidRPr="00C717CD">
        <w:t>У</w:t>
      </w:r>
      <w:r w:rsidRPr="00422E41">
        <w:t xml:space="preserve"> напрямку розвитку фестивального туризму в місті протягом 2019 року на виконання заходів "Програми розвитку туристичної галузі в Івано-Франківську на 2016-2020рр" надано сприяння в організації </w:t>
      </w:r>
      <w:r>
        <w:t xml:space="preserve">міжнародного </w:t>
      </w:r>
      <w:r w:rsidRPr="00422E41">
        <w:t>фестивалю "Коляда на Майзлях", фестивалю естрадно-спортивного танцю "ФЕСТ 2019" ярмарку "Великодній кошик", святкування Дня міста (в програмі якого: фестиваль-ярмарок "Прикарпатський вернісаж", модний показ одягу в рамках фестивалю "Край</w:t>
      </w:r>
      <w:r w:rsidR="00D847DD">
        <w:rPr>
          <w:lang w:val="uk-UA"/>
        </w:rPr>
        <w:t>.</w:t>
      </w:r>
      <w:r w:rsidRPr="00422E41">
        <w:t xml:space="preserve">Ка", велосипедний пробіг, міжнародних фестивалів "Карпатський простір", "Свято ковалів" (представлення ковальських робіт і речей, виготовлених ковалями України та зарубіжжя), "Меди Прикарпаття" (ярмарок меду та продуктів бджільництва, різноманітні майстер-класи, </w:t>
      </w:r>
      <w:r w:rsidRPr="00422E41">
        <w:lastRenderedPageBreak/>
        <w:t xml:space="preserve">семінари та лекції за участю відомих пасічників та гостей з закордону) та "Свято хліба та сиру", який традиційно присвячений завершенню збору врожаю та популяризації виробників сирної продукції. </w:t>
      </w:r>
    </w:p>
    <w:p w:rsidR="00E65C6A" w:rsidRPr="00422E41" w:rsidRDefault="00E65C6A" w:rsidP="00F91D93">
      <w:pPr>
        <w:ind w:firstLine="709"/>
        <w:jc w:val="both"/>
      </w:pPr>
      <w:r w:rsidRPr="00422E41">
        <w:t>З метою промоції туристичного потенціалу міста, збільшення кількості туристів, популяризації культурної спадщини м.Івано-Франківська та розвитку фестивального туризму затверджено "Перелік фестивальних та спортивних заходів на 2019 рік". Випущено відповідний промоційний проспект "Календар подій", який розповсюджувався на туристичних форумах, виставках, ярмарках, серед гостей міста.</w:t>
      </w:r>
    </w:p>
    <w:p w:rsidR="00E65C6A" w:rsidRPr="00422E41" w:rsidRDefault="00E65C6A" w:rsidP="00E65C6A">
      <w:pPr>
        <w:ind w:firstLine="708"/>
        <w:jc w:val="both"/>
      </w:pPr>
      <w:r w:rsidRPr="00422E41">
        <w:rPr>
          <w:color w:val="000000"/>
        </w:rPr>
        <w:t>У квітні 2019 року Івано-Франківська міська рада </w:t>
      </w:r>
      <w:hyperlink r:id="rId17" w:tgtFrame="_blank" w:history="1">
        <w:r w:rsidRPr="00D847DD">
          <w:rPr>
            <w:rStyle w:val="aa"/>
            <w:color w:val="000000"/>
            <w:u w:val="none"/>
          </w:rPr>
          <w:t>ухвалила</w:t>
        </w:r>
      </w:hyperlink>
      <w:r w:rsidRPr="00422E41">
        <w:rPr>
          <w:color w:val="000000"/>
        </w:rPr>
        <w:t> рішення про затвердження бренду міста, а в серпні 2019 року прийнято рішення про затвердження Маркетингової стратегії міста Івано-Франківська.</w:t>
      </w:r>
    </w:p>
    <w:p w:rsidR="00E65C6A" w:rsidRPr="00422E41" w:rsidRDefault="00E65C6A" w:rsidP="00E65C6A">
      <w:pPr>
        <w:shd w:val="clear" w:color="auto" w:fill="FFFFFF"/>
        <w:ind w:firstLine="564"/>
        <w:jc w:val="both"/>
      </w:pPr>
      <w:r w:rsidRPr="00422E41">
        <w:t xml:space="preserve">З метою налагодження взаємодії органів виконавчої влади, бізнесу і громадськості щоквартально проводяться засідання </w:t>
      </w:r>
      <w:proofErr w:type="gramStart"/>
      <w:r w:rsidRPr="00422E41">
        <w:t>Ради</w:t>
      </w:r>
      <w:proofErr w:type="gramEnd"/>
      <w:r w:rsidRPr="00422E41">
        <w:t xml:space="preserve"> з питань підтримки та розвитку туризму в м.Івано-Франківську при міському голові.</w:t>
      </w:r>
    </w:p>
    <w:p w:rsidR="00E65C6A" w:rsidRPr="00422E41" w:rsidRDefault="00E65C6A" w:rsidP="00E65C6A">
      <w:pPr>
        <w:shd w:val="clear" w:color="auto" w:fill="FFFFFF"/>
        <w:ind w:firstLine="564"/>
        <w:jc w:val="both"/>
        <w:rPr>
          <w:color w:val="000000"/>
        </w:rPr>
      </w:pPr>
      <w:r w:rsidRPr="00422E41">
        <w:t xml:space="preserve">Постійно відбувається співпраця в рамках підписаних угод про співпрацю з питань популяризації туристичної привабливості м.Івано-Франківська з курортними містами Яремче, Трускавець, Моршин та містом Галич. Під час урочистих заходів з нагоди Дня міста відбулось підписання Меморандуму про співпрацю з м.Моршин та організовано Туристичний ярмарок-виставку-2019 за участю представників туристичної сфери з партнерських міст - м.Ніредьгаза (Угорщина), м.Галича, м.Яремча, м.Моршина та м.Трускавець. В ході виставки учасники мали змогу обговорити ряд важливих питань щодо взаємної співпраці та шляхів вирішення проблемних питань галузі. </w:t>
      </w:r>
    </w:p>
    <w:p w:rsidR="00E65C6A" w:rsidRPr="00422E41" w:rsidRDefault="00E65C6A" w:rsidP="00E65C6A">
      <w:pPr>
        <w:ind w:firstLine="708"/>
        <w:jc w:val="both"/>
      </w:pPr>
      <w:r w:rsidRPr="00EC2826">
        <w:rPr>
          <w:lang w:val="uk-UA"/>
        </w:rPr>
        <w:t xml:space="preserve">За </w:t>
      </w:r>
      <w:r w:rsidRPr="00EC2826">
        <w:rPr>
          <w:shd w:val="clear" w:color="auto" w:fill="FFFFFF"/>
          <w:lang w:val="uk-UA"/>
        </w:rPr>
        <w:t>вагомий внесок у розвиток в’їзного туризму, популяризацію міста, розвиток туристичної інфраструктури, з нагоди відзначення Всесвітнього дня туризму</w:t>
      </w:r>
      <w:r w:rsidRPr="00EC2826">
        <w:rPr>
          <w:lang w:val="uk-UA"/>
        </w:rPr>
        <w:t xml:space="preserve">  </w:t>
      </w:r>
      <w:r w:rsidRPr="00EC2826">
        <w:rPr>
          <w:shd w:val="clear" w:color="auto" w:fill="FFFFFF"/>
          <w:lang w:val="uk-UA"/>
        </w:rPr>
        <w:t>нагороджено подяками</w:t>
      </w:r>
      <w:r w:rsidRPr="00EC2826">
        <w:rPr>
          <w:b/>
          <w:shd w:val="clear" w:color="auto" w:fill="FFFFFF"/>
          <w:lang w:val="uk-UA"/>
        </w:rPr>
        <w:t xml:space="preserve"> </w:t>
      </w:r>
      <w:r w:rsidRPr="00EC2826">
        <w:rPr>
          <w:shd w:val="clear" w:color="auto" w:fill="FFFFFF"/>
          <w:lang w:val="uk-UA"/>
        </w:rPr>
        <w:t xml:space="preserve"> виконавчого комітету Івано-Франківської міської ради</w:t>
      </w:r>
      <w:r w:rsidRPr="00EC2826">
        <w:rPr>
          <w:color w:val="252525"/>
          <w:shd w:val="clear" w:color="auto" w:fill="FFFFFF"/>
          <w:lang w:val="uk-UA"/>
        </w:rPr>
        <w:t xml:space="preserve"> </w:t>
      </w:r>
      <w:r w:rsidRPr="00EC2826">
        <w:rPr>
          <w:lang w:val="uk-UA"/>
        </w:rPr>
        <w:t>кращих краєзнавців та екскурсоводів міста. Спільно з ПНУ</w:t>
      </w:r>
      <w:r w:rsidRPr="00422E41">
        <w:t xml:space="preserve"> ім.В.Стефаника організовано акцію "Туристична феєрія". Програма акції передбачала проведення туристичних конкурсів та вікторин серед учнів 11-х класів шкіл м.Івано-Франківська та пізнавальної екскурсії "Легенди та загадки Івано-Франківська". Проводились безкоштовні екскурсії по місту для школярів старших класів, студентів вищих навчальних закладів, пенсіонерів, працівників держустанов тощо.  </w:t>
      </w:r>
    </w:p>
    <w:p w:rsidR="00E65C6A" w:rsidRPr="00422E41" w:rsidRDefault="00E65C6A" w:rsidP="00E65C6A">
      <w:pPr>
        <w:ind w:firstLine="708"/>
        <w:jc w:val="both"/>
      </w:pPr>
      <w:r w:rsidRPr="00422E41">
        <w:t xml:space="preserve">Туристичний потенціал міста презентовано на різноманітних форумах та виставках, у тому числі міжнародних, серед яких: </w:t>
      </w:r>
    </w:p>
    <w:p w:rsidR="00E65C6A" w:rsidRPr="00422E41" w:rsidRDefault="00E65C6A" w:rsidP="00E65C6A">
      <w:pPr>
        <w:jc w:val="both"/>
      </w:pPr>
      <w:r w:rsidRPr="00422E41">
        <w:tab/>
        <w:t xml:space="preserve">- 25 ювілейна </w:t>
      </w:r>
      <w:proofErr w:type="gramStart"/>
      <w:r w:rsidRPr="00422E41">
        <w:t>Міжнародна  виставка</w:t>
      </w:r>
      <w:proofErr w:type="gramEnd"/>
      <w:r w:rsidRPr="00422E41">
        <w:t xml:space="preserve"> туристичних регіонів у </w:t>
      </w:r>
      <w:r w:rsidR="005254B9">
        <w:rPr>
          <w:lang w:val="uk-UA"/>
        </w:rPr>
        <w:t>м.</w:t>
      </w:r>
      <w:r w:rsidRPr="00422E41">
        <w:t>Лодзі (Польща) "На перехресті культур";</w:t>
      </w:r>
    </w:p>
    <w:p w:rsidR="00E65C6A" w:rsidRPr="00422E41" w:rsidRDefault="00E65C6A" w:rsidP="00E65C6A">
      <w:pPr>
        <w:jc w:val="both"/>
      </w:pPr>
      <w:r w:rsidRPr="00422E41">
        <w:tab/>
        <w:t xml:space="preserve">- міжнародна туристична виставка "Україна - Подорожі та Туризм" "UITT 2019" в м.Києві; </w:t>
      </w:r>
    </w:p>
    <w:p w:rsidR="00E65C6A" w:rsidRPr="00422E41" w:rsidRDefault="00E65C6A" w:rsidP="00E65C6A">
      <w:pPr>
        <w:jc w:val="both"/>
      </w:pPr>
      <w:r w:rsidRPr="00422E41">
        <w:tab/>
        <w:t xml:space="preserve">- Міжнародна туристична виставка-ярмарок "ВІДПОЧИНОК-2019" у м.Мінську (Білорусь); </w:t>
      </w:r>
    </w:p>
    <w:p w:rsidR="00E65C6A" w:rsidRPr="00422E41" w:rsidRDefault="00E65C6A" w:rsidP="00E65C6A">
      <w:pPr>
        <w:jc w:val="both"/>
      </w:pPr>
      <w:r w:rsidRPr="00422E41">
        <w:tab/>
        <w:t>-  міжнародний туристичний тиждень в м.Одесі;</w:t>
      </w:r>
    </w:p>
    <w:p w:rsidR="00E65C6A" w:rsidRPr="00422E41" w:rsidRDefault="00E65C6A" w:rsidP="00E65C6A">
      <w:pPr>
        <w:jc w:val="both"/>
      </w:pPr>
      <w:r w:rsidRPr="00422E41">
        <w:tab/>
        <w:t xml:space="preserve">-  туристичний ярмарок "В бік сонця" в м.Ополє (Польща); </w:t>
      </w:r>
    </w:p>
    <w:p w:rsidR="00E65C6A" w:rsidRPr="00422E41" w:rsidRDefault="00E65C6A" w:rsidP="00E65C6A">
      <w:pPr>
        <w:jc w:val="both"/>
      </w:pPr>
      <w:r w:rsidRPr="00422E41">
        <w:tab/>
        <w:t xml:space="preserve">-  міжнародний туристичний салон "Україна – UITM’2019" в м.Києві, </w:t>
      </w:r>
    </w:p>
    <w:p w:rsidR="00E65C6A" w:rsidRPr="00422E41" w:rsidRDefault="00E65C6A" w:rsidP="00E65C6A">
      <w:pPr>
        <w:jc w:val="both"/>
      </w:pPr>
      <w:r w:rsidRPr="00422E41">
        <w:lastRenderedPageBreak/>
        <w:tab/>
        <w:t xml:space="preserve">- ХХ міжнародна виставка "ТурЕКСПО 2019" в </w:t>
      </w:r>
      <w:proofErr w:type="gramStart"/>
      <w:r w:rsidRPr="00422E41">
        <w:t>рамках  Львівського</w:t>
      </w:r>
      <w:proofErr w:type="gramEnd"/>
      <w:r w:rsidRPr="00422E41">
        <w:t xml:space="preserve"> міжнародного форуму індустрії туризму та гостинності,</w:t>
      </w:r>
    </w:p>
    <w:p w:rsidR="00E65C6A" w:rsidRPr="00422E41" w:rsidRDefault="00E65C6A" w:rsidP="00E65C6A">
      <w:pPr>
        <w:jc w:val="both"/>
      </w:pPr>
      <w:r w:rsidRPr="00422E41">
        <w:tab/>
        <w:t xml:space="preserve">-  Міжнародна туристична виставка у м.Бухарест (Румунія) </w:t>
      </w:r>
      <w:r w:rsidRPr="00422E41">
        <w:rPr>
          <w:lang w:eastAsia="uk-UA"/>
        </w:rPr>
        <w:t>Romanian Tourism Fair 2019;</w:t>
      </w:r>
    </w:p>
    <w:p w:rsidR="00E65C6A" w:rsidRPr="00422E41" w:rsidRDefault="00E65C6A" w:rsidP="00E65C6A">
      <w:pPr>
        <w:jc w:val="both"/>
      </w:pPr>
      <w:r w:rsidRPr="00422E41">
        <w:tab/>
        <w:t>-  TT Warsaw в м.Варшава (Польща);</w:t>
      </w:r>
    </w:p>
    <w:p w:rsidR="00E65C6A" w:rsidRPr="00422E41" w:rsidRDefault="00E65C6A" w:rsidP="00E65C6A">
      <w:pPr>
        <w:jc w:val="both"/>
      </w:pPr>
      <w:r w:rsidRPr="00422E41">
        <w:tab/>
        <w:t>- Міжнародний ярмарок високоякісної продукції "Еко-Гала" в Жешові (Польща).</w:t>
      </w:r>
    </w:p>
    <w:p w:rsidR="00E65C6A" w:rsidRPr="00422E41" w:rsidRDefault="00E65C6A" w:rsidP="00E65C6A">
      <w:pPr>
        <w:pStyle w:val="ab"/>
        <w:spacing w:before="0" w:beforeAutospacing="0" w:after="0" w:afterAutospacing="0"/>
        <w:ind w:firstLine="708"/>
        <w:jc w:val="both"/>
        <w:rPr>
          <w:sz w:val="28"/>
          <w:szCs w:val="28"/>
          <w:lang w:val="uk-UA"/>
        </w:rPr>
      </w:pPr>
      <w:r w:rsidRPr="00422E41">
        <w:rPr>
          <w:sz w:val="28"/>
          <w:szCs w:val="28"/>
          <w:lang w:val="uk-UA"/>
        </w:rPr>
        <w:t xml:space="preserve">З метою популяризації міста за кордоном і формування позитивного іміджу Івано-Франківська забезпечено виготовлення промоційних матеріалів (футболки, чашки, еко-сумки, блокноти, олівці прості та кольорові, шкарпетки, буклети "9 причин приїхати в гості", "Станіславські оказії", путівник "Івано-Франківськ. </w:t>
      </w:r>
      <w:r>
        <w:rPr>
          <w:sz w:val="28"/>
          <w:szCs w:val="28"/>
        </w:rPr>
        <w:t>Туристичний путівник"</w:t>
      </w:r>
      <w:r>
        <w:rPr>
          <w:sz w:val="28"/>
          <w:szCs w:val="28"/>
          <w:lang w:val="uk-UA"/>
        </w:rPr>
        <w:t xml:space="preserve"> </w:t>
      </w:r>
      <w:r w:rsidRPr="00422E41">
        <w:rPr>
          <w:sz w:val="28"/>
          <w:szCs w:val="28"/>
        </w:rPr>
        <w:t xml:space="preserve">та настільний пленер, </w:t>
      </w:r>
      <w:r>
        <w:rPr>
          <w:sz w:val="28"/>
          <w:szCs w:val="28"/>
          <w:lang w:val="uk-UA"/>
        </w:rPr>
        <w:t xml:space="preserve">настінний </w:t>
      </w:r>
      <w:r w:rsidRPr="00422E41">
        <w:rPr>
          <w:sz w:val="28"/>
          <w:szCs w:val="28"/>
        </w:rPr>
        <w:t xml:space="preserve">"Календар подій Івано-Франківська 2019", туристична карта міста, тощо). </w:t>
      </w:r>
    </w:p>
    <w:p w:rsidR="00E65C6A" w:rsidRDefault="00E65C6A" w:rsidP="00E65C6A">
      <w:pPr>
        <w:jc w:val="both"/>
        <w:rPr>
          <w:lang w:val="uk-UA"/>
        </w:rPr>
      </w:pPr>
      <w:r w:rsidRPr="00422E41">
        <w:t xml:space="preserve">   </w:t>
      </w:r>
      <w:r w:rsidRPr="00422E41">
        <w:tab/>
        <w:t xml:space="preserve">Промоційна продукція про місто розповсюджувалась в туристично-інвестиційному центрі, готелях міста, надавалася туристичним фірмам та іноземним делегаціям. </w:t>
      </w:r>
    </w:p>
    <w:p w:rsidR="00E65C6A" w:rsidRDefault="00E65C6A" w:rsidP="00E65C6A">
      <w:pPr>
        <w:jc w:val="both"/>
        <w:rPr>
          <w:lang w:val="uk-UA"/>
        </w:rPr>
      </w:pPr>
    </w:p>
    <w:p w:rsidR="007B5FC8" w:rsidRPr="00E65C6A" w:rsidRDefault="007B5FC8" w:rsidP="007B5FC8">
      <w:pPr>
        <w:pStyle w:val="ab"/>
        <w:tabs>
          <w:tab w:val="left" w:pos="709"/>
        </w:tabs>
        <w:spacing w:before="0" w:beforeAutospacing="0" w:after="0" w:afterAutospacing="0"/>
        <w:ind w:firstLine="700"/>
        <w:jc w:val="both"/>
        <w:rPr>
          <w:i/>
          <w:color w:val="000000"/>
          <w:sz w:val="28"/>
          <w:szCs w:val="28"/>
          <w:lang w:val="uk-UA"/>
        </w:rPr>
      </w:pPr>
      <w:r w:rsidRPr="00E65C6A">
        <w:rPr>
          <w:i/>
          <w:color w:val="000000"/>
          <w:sz w:val="28"/>
          <w:szCs w:val="28"/>
          <w:lang w:val="uk-UA"/>
        </w:rPr>
        <w:tab/>
        <w:t>3.6 Розвиток міжнародного співробітництва</w:t>
      </w:r>
    </w:p>
    <w:p w:rsidR="00E65C6A" w:rsidRPr="009C5286" w:rsidRDefault="00E65C6A" w:rsidP="00E65C6A">
      <w:pPr>
        <w:tabs>
          <w:tab w:val="left" w:pos="709"/>
          <w:tab w:val="center" w:pos="4677"/>
          <w:tab w:val="right" w:pos="9355"/>
        </w:tabs>
        <w:ind w:firstLine="709"/>
        <w:jc w:val="both"/>
        <w:rPr>
          <w:lang w:val="uk-UA"/>
        </w:rPr>
      </w:pPr>
      <w:r w:rsidRPr="009C5286">
        <w:rPr>
          <w:lang w:val="uk-UA"/>
        </w:rPr>
        <w:t xml:space="preserve">Місто Івано-Франківськ має документально оформлені партнерські зв’язки з 25 містами зарубіжжя, серед яких міста Польщі, Угорщини, Чехії, Румунії, Білорусі, Литви, Латвії, Молдови, Грузії, Португалії, США та Китаю. </w:t>
      </w:r>
    </w:p>
    <w:p w:rsidR="00E65C6A" w:rsidRPr="00422E41" w:rsidRDefault="00E65C6A" w:rsidP="00E65C6A">
      <w:pPr>
        <w:pStyle w:val="a7"/>
        <w:tabs>
          <w:tab w:val="left" w:pos="709"/>
          <w:tab w:val="center" w:pos="4677"/>
          <w:tab w:val="right" w:pos="9355"/>
        </w:tabs>
        <w:spacing w:after="0"/>
        <w:ind w:left="0" w:firstLine="851"/>
        <w:jc w:val="both"/>
        <w:rPr>
          <w:sz w:val="28"/>
          <w:szCs w:val="28"/>
        </w:rPr>
      </w:pPr>
      <w:r w:rsidRPr="00422E41">
        <w:rPr>
          <w:sz w:val="28"/>
          <w:szCs w:val="28"/>
        </w:rPr>
        <w:t xml:space="preserve">З метою сприяння розвитку міжнародного співробітництва організовувалась робота в рамках підписаних угод про співпрацю між містами. 4 травня 2019 в рамках відзначення Дня міста підписано Угоду щодо встановлення партнерських відносин між містом Івано-Франківськ та містом Наньнін, Гуансі-Чжуанського автономного округу (КНР). На запрошення голови Наньнінскої муніципальної ради 19-23 вересня офіційна делегація з Івано-Франківська взяла участь в ХХІ міжнародному фольклорно-пісенному фестивалі та промисловій виставці  </w:t>
      </w:r>
      <w:r w:rsidRPr="00422E41">
        <w:rPr>
          <w:sz w:val="28"/>
          <w:szCs w:val="28"/>
          <w:lang w:val="en-US"/>
        </w:rPr>
        <w:t>China</w:t>
      </w:r>
      <w:r w:rsidRPr="00422E41">
        <w:rPr>
          <w:sz w:val="28"/>
          <w:szCs w:val="28"/>
        </w:rPr>
        <w:t>-</w:t>
      </w:r>
      <w:r w:rsidRPr="00422E41">
        <w:rPr>
          <w:sz w:val="28"/>
          <w:szCs w:val="28"/>
          <w:lang w:val="en-US"/>
        </w:rPr>
        <w:t>ASEAN</w:t>
      </w:r>
      <w:r w:rsidRPr="00422E41">
        <w:rPr>
          <w:sz w:val="28"/>
          <w:szCs w:val="28"/>
        </w:rPr>
        <w:t xml:space="preserve"> </w:t>
      </w:r>
      <w:r w:rsidRPr="00422E41">
        <w:rPr>
          <w:sz w:val="28"/>
          <w:szCs w:val="28"/>
          <w:lang w:val="en-US"/>
        </w:rPr>
        <w:t>Expo</w:t>
      </w:r>
      <w:r w:rsidRPr="00422E41">
        <w:rPr>
          <w:sz w:val="28"/>
          <w:szCs w:val="28"/>
        </w:rPr>
        <w:t xml:space="preserve"> 2019 у партнерському місті Наньнін (КНР).</w:t>
      </w:r>
    </w:p>
    <w:p w:rsidR="00E65C6A" w:rsidRPr="00422E41" w:rsidRDefault="00E65C6A" w:rsidP="00E65C6A">
      <w:pPr>
        <w:jc w:val="both"/>
      </w:pPr>
      <w:r w:rsidRPr="00422E41">
        <w:tab/>
      </w:r>
      <w:r w:rsidR="004E7F81">
        <w:rPr>
          <w:lang w:val="uk-UA"/>
        </w:rPr>
        <w:t>У</w:t>
      </w:r>
      <w:r w:rsidRPr="00422E41">
        <w:t xml:space="preserve"> напрямку розширення міжнародної співпраці продовжу</w:t>
      </w:r>
      <w:r w:rsidR="004E7F81">
        <w:rPr>
          <w:lang w:val="uk-UA"/>
        </w:rPr>
        <w:t>вала</w:t>
      </w:r>
      <w:r w:rsidRPr="00422E41">
        <w:t xml:space="preserve">ся робота </w:t>
      </w:r>
      <w:r>
        <w:t>з</w:t>
      </w:r>
      <w:r w:rsidRPr="00422E41">
        <w:t xml:space="preserve"> налагодженн</w:t>
      </w:r>
      <w:r>
        <w:t>я</w:t>
      </w:r>
      <w:r w:rsidRPr="00422E41">
        <w:t xml:space="preserve"> партнерства з містами: Нова Горіца (Словенія), Ковентрі (Великобританія), Оломоуц (Чеська Республіка). З метою обговорення перспектив налагодження співпраці міста Івано-Франківська з землею Тюрингія та містом Ерфурт організовано зустріч міського голови Івано-Франківська з представниками Парламенту землі Тюрингія (Німеччина). </w:t>
      </w:r>
    </w:p>
    <w:p w:rsidR="00E65C6A" w:rsidRPr="00422E41" w:rsidRDefault="00E65C6A" w:rsidP="00E65C6A">
      <w:pPr>
        <w:tabs>
          <w:tab w:val="left" w:pos="709"/>
          <w:tab w:val="left" w:pos="851"/>
          <w:tab w:val="center" w:pos="4677"/>
          <w:tab w:val="right" w:pos="9355"/>
        </w:tabs>
        <w:ind w:firstLine="709"/>
        <w:jc w:val="both"/>
      </w:pPr>
      <w:r w:rsidRPr="00422E41">
        <w:t xml:space="preserve">Протягом 2019 року організовано </w:t>
      </w:r>
      <w:r w:rsidRPr="00EF7CD1">
        <w:t>36 міжнародних</w:t>
      </w:r>
      <w:r w:rsidRPr="004E7F81">
        <w:t xml:space="preserve"> </w:t>
      </w:r>
      <w:r w:rsidRPr="00422E41">
        <w:t xml:space="preserve">візитів представників виконавчого комітету Івано-Франківської міської ради, депутатського корпусу, працівників освіти, культури, спорту та охорони здоров’я до партнерських міст за кордоном (Краків, Бидгощ, Жешув, Кошалін, Хшанів, Хшанівський повіт, Дільниця Охота ст.м. Варшава, Ополє, Рибнік, Люблін, Криниця-Здруй, Зєльона Гура, Свідніца (Польща), Пршеров (Чехія),  Брест (Білорусь), Тракай (Литва), Єлгава, (Латвія), Бая-Маре, Сучава, Сірет (Румунія), Ніредьгаза, Ботошани, Мішкольц, Сегед (Угорщина), Руставі (Грузія), Брага (Португалія), Наньнін (КНР) з метою участі в урочистих та </w:t>
      </w:r>
      <w:r w:rsidRPr="00422E41">
        <w:lastRenderedPageBreak/>
        <w:t>мистецьких заходах з нагоди заснування міст-партнерів, фестивалях, форумах та виставках-ярмарках.</w:t>
      </w:r>
    </w:p>
    <w:p w:rsidR="00E65C6A" w:rsidRPr="00422E41" w:rsidRDefault="00E65C6A" w:rsidP="00E65C6A">
      <w:pPr>
        <w:ind w:firstLine="708"/>
        <w:jc w:val="both"/>
        <w:rPr>
          <w:color w:val="000000" w:themeColor="text1"/>
        </w:rPr>
      </w:pPr>
      <w:proofErr w:type="gramStart"/>
      <w:r>
        <w:rPr>
          <w:color w:val="000000" w:themeColor="text1"/>
        </w:rPr>
        <w:t>У</w:t>
      </w:r>
      <w:r w:rsidRPr="00422E41">
        <w:rPr>
          <w:color w:val="000000" w:themeColor="text1"/>
        </w:rPr>
        <w:t xml:space="preserve"> рамках</w:t>
      </w:r>
      <w:proofErr w:type="gramEnd"/>
      <w:r w:rsidRPr="00422E41">
        <w:rPr>
          <w:color w:val="000000" w:themeColor="text1"/>
        </w:rPr>
        <w:t xml:space="preserve"> продовження співпраці з містами-партнерами забезпечено участь хорових колективів у міжнародному Різдвяному фестивалі "Коляда на Майзлях" та участь танцювальних молодіжних колективів у ХХІХ Міжнародному фестивалі естрадно-спортивного танцю "ФЕСТ-2019" з партнерських міст за кордоном.</w:t>
      </w:r>
    </w:p>
    <w:p w:rsidR="00E65C6A" w:rsidRPr="00422E41" w:rsidRDefault="00E65C6A" w:rsidP="00E65C6A">
      <w:pPr>
        <w:ind w:firstLine="708"/>
        <w:jc w:val="both"/>
        <w:rPr>
          <w:color w:val="000000" w:themeColor="text1"/>
        </w:rPr>
      </w:pPr>
      <w:r w:rsidRPr="00422E41">
        <w:rPr>
          <w:color w:val="000000" w:themeColor="text1"/>
        </w:rPr>
        <w:t>Організовано поїздку 20-особової групи дітей разом з опікунами на запрошення Уряду партнерського міста Рибнік для оздоровлення у спортивно-рекреаційному осередку в місті Бєльск</w:t>
      </w:r>
      <w:r>
        <w:rPr>
          <w:color w:val="000000" w:themeColor="text1"/>
        </w:rPr>
        <w:t>о Бяле</w:t>
      </w:r>
      <w:r w:rsidRPr="00422E41">
        <w:rPr>
          <w:color w:val="000000" w:themeColor="text1"/>
        </w:rPr>
        <w:t>. З метою забезпечення оздоровлення та відпочинку дітей пільгових категорій спільно з асоціацією "Португало-Український Соціально-Культурний Центр: Україна-Португалія-Європа" та владою партнерського міста Брага (Португалія) організовано літній оздоровчий відпочинок для шістьох дітей загиблих учасників АТО з Івано-Франківська у Бразі.</w:t>
      </w:r>
    </w:p>
    <w:p w:rsidR="00E65C6A" w:rsidRPr="00422E41" w:rsidRDefault="00E65C6A" w:rsidP="00E65C6A">
      <w:pPr>
        <w:ind w:firstLine="709"/>
        <w:jc w:val="both"/>
        <w:rPr>
          <w:color w:val="000000" w:themeColor="text1"/>
        </w:rPr>
      </w:pPr>
      <w:proofErr w:type="gramStart"/>
      <w:r>
        <w:rPr>
          <w:color w:val="000000" w:themeColor="text1"/>
        </w:rPr>
        <w:t>У</w:t>
      </w:r>
      <w:r w:rsidRPr="00422E41">
        <w:rPr>
          <w:color w:val="000000" w:themeColor="text1"/>
        </w:rPr>
        <w:t xml:space="preserve"> рамках</w:t>
      </w:r>
      <w:proofErr w:type="gramEnd"/>
      <w:r w:rsidRPr="00422E41">
        <w:rPr>
          <w:color w:val="000000" w:themeColor="text1"/>
        </w:rPr>
        <w:t xml:space="preserve"> продовження співпраці з містами-партнерами за кордоном у сфері культури забезпечено участь мистецьких колективів з Івано-Франківська у міжнародних фестивалях в партнерських містах Ополє, дільниця Охота ст. м. Варшави (Польща) та м.Вербас (Сербія). Організовано та проведено товариський матч між футбольними командами м.Івано-Франківська та м.Брага (Португалія) в рамках реалізації угоди про партнерську співпрацю у сфері спорту. Крім того, організовано участь молодіжної футбольної команди з партнерського м.Жешова (Польща) у Міжнародному дитячому турнірі з футболу "Гостинне Прикарпаття", що відбувся в Івано-Франківську у червні та надано сприяння участі івано-франківських легкоатлетів </w:t>
      </w:r>
      <w:r>
        <w:rPr>
          <w:color w:val="000000" w:themeColor="text1"/>
        </w:rPr>
        <w:t>у</w:t>
      </w:r>
      <w:r w:rsidRPr="00422E41">
        <w:rPr>
          <w:color w:val="000000" w:themeColor="text1"/>
        </w:rPr>
        <w:t xml:space="preserve"> біговому марафоні </w:t>
      </w:r>
      <w:r>
        <w:rPr>
          <w:color w:val="000000" w:themeColor="text1"/>
        </w:rPr>
        <w:t>в</w:t>
      </w:r>
      <w:r w:rsidRPr="00422E41">
        <w:rPr>
          <w:color w:val="000000" w:themeColor="text1"/>
        </w:rPr>
        <w:t xml:space="preserve"> місті Жешов</w:t>
      </w:r>
      <w:r w:rsidRPr="00422E41">
        <w:rPr>
          <w:color w:val="000000" w:themeColor="text1"/>
          <w:lang w:val="en-US"/>
        </w:rPr>
        <w:t>i</w:t>
      </w:r>
      <w:r w:rsidRPr="00422E41">
        <w:rPr>
          <w:color w:val="000000" w:themeColor="text1"/>
        </w:rPr>
        <w:t xml:space="preserve"> (Польща). Забезпечен</w:t>
      </w:r>
      <w:r>
        <w:rPr>
          <w:color w:val="000000" w:themeColor="text1"/>
        </w:rPr>
        <w:t>о</w:t>
      </w:r>
      <w:r w:rsidRPr="00422E41">
        <w:rPr>
          <w:color w:val="000000" w:themeColor="text1"/>
        </w:rPr>
        <w:t xml:space="preserve"> участь представників партнерського міста Єлгава (Латвія) у </w:t>
      </w:r>
      <w:r w:rsidRPr="00422E41">
        <w:rPr>
          <w:color w:val="000000" w:themeColor="text1"/>
          <w:lang w:val="pl-PL"/>
        </w:rPr>
        <w:t>V</w:t>
      </w:r>
      <w:r w:rsidRPr="00422E41">
        <w:rPr>
          <w:color w:val="000000" w:themeColor="text1"/>
        </w:rPr>
        <w:t xml:space="preserve"> Міжнародному інвестиційно-економічному форумі.</w:t>
      </w:r>
    </w:p>
    <w:p w:rsidR="00E65C6A" w:rsidRPr="00422E41" w:rsidRDefault="00E65C6A" w:rsidP="00E65C6A">
      <w:pPr>
        <w:ind w:firstLine="709"/>
        <w:jc w:val="both"/>
        <w:rPr>
          <w:color w:val="000000" w:themeColor="text1"/>
        </w:rPr>
      </w:pPr>
      <w:proofErr w:type="gramStart"/>
      <w:r>
        <w:rPr>
          <w:color w:val="000000" w:themeColor="text1"/>
        </w:rPr>
        <w:t>У</w:t>
      </w:r>
      <w:r w:rsidRPr="00422E41">
        <w:rPr>
          <w:color w:val="000000" w:themeColor="text1"/>
        </w:rPr>
        <w:t xml:space="preserve"> рамках</w:t>
      </w:r>
      <w:proofErr w:type="gramEnd"/>
      <w:r w:rsidRPr="00422E41">
        <w:rPr>
          <w:color w:val="000000" w:themeColor="text1"/>
        </w:rPr>
        <w:t xml:space="preserve"> підготовчих заходів з реалізації Акції "Дні добросусідства" організовано поїздку групи студентської молоді з Івано-Франківська Гміни Ульхувек Томашівського повіту Люблінського воєводства, де студенти протягом 5 днів впорядковували могили своїх предків. </w:t>
      </w:r>
    </w:p>
    <w:p w:rsidR="00E65C6A" w:rsidRPr="00422E41" w:rsidRDefault="00E65C6A" w:rsidP="00E65C6A">
      <w:pPr>
        <w:ind w:firstLine="708"/>
        <w:jc w:val="both"/>
        <w:rPr>
          <w:color w:val="000000"/>
        </w:rPr>
      </w:pPr>
      <w:r w:rsidRPr="00422E41">
        <w:t>Наше місто відвідали 54 офіційн</w:t>
      </w:r>
      <w:r>
        <w:t>і делегації</w:t>
      </w:r>
      <w:r w:rsidRPr="00422E41">
        <w:t xml:space="preserve"> з міст-партнерів за кордоном, іноземних дипломатичних представництв в Україні та неурядових міжнародних громадських організацій. Організовано зустрічі представників виконавчого комітету Івано-Франківської міської ради з офіційними </w:t>
      </w:r>
      <w:proofErr w:type="gramStart"/>
      <w:r w:rsidRPr="00422E41">
        <w:t>делегаціями  іноземних</w:t>
      </w:r>
      <w:proofErr w:type="gramEnd"/>
      <w:r w:rsidRPr="00422E41">
        <w:t xml:space="preserve"> урядових та неурядових міжнародних громадських організацій.</w:t>
      </w:r>
    </w:p>
    <w:p w:rsidR="00E65C6A" w:rsidRPr="00422E41" w:rsidRDefault="00E65C6A" w:rsidP="00E65C6A">
      <w:pPr>
        <w:pStyle w:val="a7"/>
        <w:tabs>
          <w:tab w:val="left" w:pos="709"/>
          <w:tab w:val="center" w:pos="4677"/>
          <w:tab w:val="right" w:pos="9355"/>
        </w:tabs>
        <w:spacing w:after="0"/>
        <w:ind w:left="0" w:firstLine="851"/>
        <w:jc w:val="both"/>
        <w:rPr>
          <w:color w:val="000000"/>
          <w:spacing w:val="8"/>
          <w:sz w:val="28"/>
          <w:szCs w:val="28"/>
        </w:rPr>
      </w:pPr>
      <w:r>
        <w:rPr>
          <w:sz w:val="28"/>
          <w:szCs w:val="28"/>
        </w:rPr>
        <w:t>У</w:t>
      </w:r>
      <w:r w:rsidRPr="00422E41">
        <w:rPr>
          <w:sz w:val="28"/>
          <w:szCs w:val="28"/>
        </w:rPr>
        <w:t xml:space="preserve"> рамках відзначення 357</w:t>
      </w:r>
      <w:r>
        <w:rPr>
          <w:sz w:val="28"/>
          <w:szCs w:val="28"/>
        </w:rPr>
        <w:t>-</w:t>
      </w:r>
      <w:r w:rsidRPr="00422E41">
        <w:rPr>
          <w:sz w:val="28"/>
          <w:szCs w:val="28"/>
        </w:rPr>
        <w:t xml:space="preserve">річчя від дня заснування м.Івано-Франківська проведений комплекс робіт </w:t>
      </w:r>
      <w:r>
        <w:rPr>
          <w:sz w:val="28"/>
          <w:szCs w:val="28"/>
        </w:rPr>
        <w:t>з</w:t>
      </w:r>
      <w:r w:rsidRPr="00422E41">
        <w:rPr>
          <w:sz w:val="28"/>
          <w:szCs w:val="28"/>
        </w:rPr>
        <w:t xml:space="preserve"> підготов</w:t>
      </w:r>
      <w:r>
        <w:rPr>
          <w:sz w:val="28"/>
          <w:szCs w:val="28"/>
        </w:rPr>
        <w:t>ки</w:t>
      </w:r>
      <w:r w:rsidRPr="00422E41">
        <w:rPr>
          <w:sz w:val="28"/>
          <w:szCs w:val="28"/>
        </w:rPr>
        <w:t>, супроводу та організації перебування в місті 19 іноземних делегацій з міст</w:t>
      </w:r>
      <w:r>
        <w:rPr>
          <w:sz w:val="28"/>
          <w:szCs w:val="28"/>
        </w:rPr>
        <w:t>-партнерів</w:t>
      </w:r>
      <w:r w:rsidRPr="00422E41">
        <w:rPr>
          <w:sz w:val="28"/>
          <w:szCs w:val="28"/>
        </w:rPr>
        <w:t xml:space="preserve"> та 2 представництв Дипломатичного корпусу. Представники міст-партнерів разом з міським головою та мешканцями Івано-Франківська взяли участь у вело-марафоні, метою якого є популяризація здорового способу життя. Крім того, організовано участь іноземних гостей у сніданку з Міністром </w:t>
      </w:r>
      <w:r>
        <w:rPr>
          <w:sz w:val="28"/>
          <w:szCs w:val="28"/>
        </w:rPr>
        <w:t xml:space="preserve">Закордонних </w:t>
      </w:r>
      <w:r>
        <w:rPr>
          <w:sz w:val="28"/>
          <w:szCs w:val="28"/>
        </w:rPr>
        <w:lastRenderedPageBreak/>
        <w:t>С</w:t>
      </w:r>
      <w:r w:rsidRPr="00422E41">
        <w:rPr>
          <w:sz w:val="28"/>
          <w:szCs w:val="28"/>
        </w:rPr>
        <w:t>прав України, у багатолюдній урочистій ході до Ратуші, "</w:t>
      </w:r>
      <w:r>
        <w:rPr>
          <w:sz w:val="28"/>
          <w:szCs w:val="28"/>
        </w:rPr>
        <w:t>Ярмарку науки" та інших заходах</w:t>
      </w:r>
      <w:r w:rsidRPr="00422E41">
        <w:rPr>
          <w:sz w:val="28"/>
          <w:szCs w:val="28"/>
        </w:rPr>
        <w:t xml:space="preserve"> культурної програми, присвяченої Дню міста.</w:t>
      </w:r>
      <w:r w:rsidRPr="00422E41">
        <w:rPr>
          <w:color w:val="000000"/>
          <w:spacing w:val="8"/>
          <w:sz w:val="28"/>
          <w:szCs w:val="28"/>
        </w:rPr>
        <w:t xml:space="preserve"> </w:t>
      </w:r>
    </w:p>
    <w:p w:rsidR="00E65C6A" w:rsidRPr="00422E41" w:rsidRDefault="00E65C6A" w:rsidP="00E65C6A">
      <w:pPr>
        <w:pStyle w:val="a7"/>
        <w:tabs>
          <w:tab w:val="left" w:pos="709"/>
          <w:tab w:val="center" w:pos="4677"/>
          <w:tab w:val="right" w:pos="9355"/>
        </w:tabs>
        <w:spacing w:after="0"/>
        <w:ind w:left="0" w:firstLine="851"/>
        <w:jc w:val="both"/>
        <w:rPr>
          <w:sz w:val="28"/>
          <w:szCs w:val="28"/>
        </w:rPr>
      </w:pPr>
      <w:r w:rsidRPr="00422E41">
        <w:rPr>
          <w:color w:val="000000"/>
          <w:spacing w:val="8"/>
          <w:sz w:val="28"/>
          <w:szCs w:val="28"/>
        </w:rPr>
        <w:t xml:space="preserve">Надано сприяння в </w:t>
      </w:r>
      <w:r w:rsidRPr="00422E41">
        <w:rPr>
          <w:sz w:val="28"/>
          <w:szCs w:val="28"/>
        </w:rPr>
        <w:t>організації прийому в м.Івано-Франківську міжнародної делегації лемківської світової спільноти з США, Канади, Словаччини, Польщі, Сербії, Хорватії та України.</w:t>
      </w:r>
      <w:r w:rsidRPr="00422E41">
        <w:rPr>
          <w:color w:val="000000"/>
          <w:spacing w:val="8"/>
          <w:sz w:val="28"/>
          <w:szCs w:val="28"/>
        </w:rPr>
        <w:t xml:space="preserve"> </w:t>
      </w:r>
      <w:r w:rsidRPr="00422E41">
        <w:rPr>
          <w:sz w:val="28"/>
          <w:szCs w:val="28"/>
        </w:rPr>
        <w:t>15-19 серпня 2019 року</w:t>
      </w:r>
      <w:r w:rsidRPr="00422E41">
        <w:rPr>
          <w:color w:val="000000"/>
          <w:sz w:val="28"/>
          <w:szCs w:val="28"/>
          <w:shd w:val="clear" w:color="auto" w:fill="FFFFFF"/>
        </w:rPr>
        <w:t xml:space="preserve"> забезпечено організацію прийому </w:t>
      </w:r>
      <w:r w:rsidRPr="00422E41">
        <w:rPr>
          <w:sz w:val="28"/>
          <w:szCs w:val="28"/>
        </w:rPr>
        <w:t>в м.Івано-Франківську Ансамблю Українського Танцю "Юність" зі Сполучених Штатів Америки.</w:t>
      </w:r>
    </w:p>
    <w:p w:rsidR="007B5FC8" w:rsidRPr="00E65C6A" w:rsidRDefault="007B5FC8" w:rsidP="00E65C6A">
      <w:pPr>
        <w:tabs>
          <w:tab w:val="left" w:pos="709"/>
          <w:tab w:val="center" w:pos="4677"/>
          <w:tab w:val="right" w:pos="9355"/>
        </w:tabs>
        <w:ind w:firstLine="709"/>
        <w:jc w:val="both"/>
        <w:rPr>
          <w:lang w:val="uk-UA"/>
        </w:rPr>
      </w:pPr>
      <w:r w:rsidRPr="00E65C6A">
        <w:rPr>
          <w:lang w:val="uk-UA"/>
        </w:rPr>
        <w:tab/>
        <w:t xml:space="preserve"> </w:t>
      </w:r>
    </w:p>
    <w:p w:rsidR="007B5FC8" w:rsidRPr="001511BD" w:rsidRDefault="007B5FC8" w:rsidP="007B5FC8">
      <w:pPr>
        <w:ind w:firstLine="700"/>
        <w:jc w:val="both"/>
        <w:rPr>
          <w:i/>
          <w:lang w:val="uk-UA"/>
        </w:rPr>
      </w:pPr>
      <w:r w:rsidRPr="001511BD">
        <w:rPr>
          <w:i/>
          <w:lang w:val="uk-UA"/>
        </w:rPr>
        <w:tab/>
        <w:t>3.7 Земельні відносини</w:t>
      </w:r>
    </w:p>
    <w:p w:rsidR="000E4853" w:rsidRDefault="000E4853" w:rsidP="007B5FC8">
      <w:pPr>
        <w:ind w:firstLine="709"/>
        <w:jc w:val="both"/>
        <w:rPr>
          <w:lang w:val="uk-UA"/>
        </w:rPr>
      </w:pPr>
      <w:r>
        <w:t>В рамках здійснення самоврядного контролю за використанням земель на території міста</w:t>
      </w:r>
      <w:r>
        <w:rPr>
          <w:lang w:val="uk-UA"/>
        </w:rPr>
        <w:t>:</w:t>
      </w:r>
    </w:p>
    <w:p w:rsidR="000E4853" w:rsidRDefault="000E4853" w:rsidP="007B5FC8">
      <w:pPr>
        <w:ind w:firstLine="709"/>
        <w:jc w:val="both"/>
        <w:rPr>
          <w:lang w:val="uk-UA"/>
        </w:rPr>
      </w:pPr>
      <w:r>
        <w:rPr>
          <w:lang w:val="uk-UA"/>
        </w:rPr>
        <w:t>-</w:t>
      </w:r>
      <w:r>
        <w:t xml:space="preserve"> проведено обстеження 72 земельних ділянок, за результатами яких складено 72 акти обстежень; </w:t>
      </w:r>
    </w:p>
    <w:p w:rsidR="000E4853" w:rsidRDefault="000E4853" w:rsidP="007B5FC8">
      <w:pPr>
        <w:ind w:firstLine="709"/>
        <w:jc w:val="both"/>
        <w:rPr>
          <w:lang w:val="uk-UA"/>
        </w:rPr>
      </w:pPr>
      <w:r>
        <w:t xml:space="preserve">- підготовлено 77 повідомлень юридичним та фізичним особамземлекористувачам про проведення обстежень земельних ділянок; </w:t>
      </w:r>
    </w:p>
    <w:p w:rsidR="000E4853" w:rsidRDefault="000E4853" w:rsidP="007B5FC8">
      <w:pPr>
        <w:ind w:firstLine="709"/>
        <w:jc w:val="both"/>
        <w:rPr>
          <w:lang w:val="uk-UA"/>
        </w:rPr>
      </w:pPr>
      <w:r>
        <w:t xml:space="preserve">- підготовлено та направлено землекористувачам 62 клопотання щодо усунення виявлених порушень. </w:t>
      </w:r>
    </w:p>
    <w:p w:rsidR="000E4853" w:rsidRDefault="000E4853" w:rsidP="007B5FC8">
      <w:pPr>
        <w:ind w:firstLine="709"/>
        <w:jc w:val="both"/>
        <w:rPr>
          <w:lang w:val="uk-UA"/>
        </w:rPr>
      </w:pPr>
      <w:r>
        <w:t>У результаті здійснених заходів 31 землекористувач звернувся до міської ради з метою оформлення права користування землею</w:t>
      </w:r>
      <w:r>
        <w:rPr>
          <w:lang w:val="uk-UA"/>
        </w:rPr>
        <w:t>, а</w:t>
      </w:r>
      <w:r>
        <w:t xml:space="preserve"> із 7 землекористувачами укладено договори оренди землі із загальною річною сумою орендної плати 532</w:t>
      </w:r>
      <w:r>
        <w:rPr>
          <w:lang w:val="uk-UA"/>
        </w:rPr>
        <w:t xml:space="preserve">,6 тис. </w:t>
      </w:r>
      <w:r>
        <w:t xml:space="preserve">грн. </w:t>
      </w:r>
    </w:p>
    <w:p w:rsidR="000E4853" w:rsidRDefault="000E4853" w:rsidP="007B5FC8">
      <w:pPr>
        <w:ind w:firstLine="709"/>
        <w:jc w:val="both"/>
        <w:rPr>
          <w:lang w:val="uk-UA"/>
        </w:rPr>
      </w:pPr>
      <w:r>
        <w:t xml:space="preserve">У випадку встановлення факту безпідставного збереження коштів за використання земельних ділянок комунальної </w:t>
      </w:r>
      <w:r w:rsidR="004E7F81">
        <w:t>форми власності на території м.</w:t>
      </w:r>
      <w:r>
        <w:t xml:space="preserve">ІваноФранківська землекористувачам направлялися претензії, а також скеровувались матеріали в Департамент правової політики для подачі позовів </w:t>
      </w:r>
      <w:proofErr w:type="gramStart"/>
      <w:r>
        <w:t>до суду</w:t>
      </w:r>
      <w:proofErr w:type="gramEnd"/>
      <w:r>
        <w:t xml:space="preserve">, зокрема: </w:t>
      </w:r>
    </w:p>
    <w:p w:rsidR="000E4853" w:rsidRDefault="000E4853" w:rsidP="007B5FC8">
      <w:pPr>
        <w:ind w:firstLine="709"/>
        <w:jc w:val="both"/>
        <w:rPr>
          <w:lang w:val="uk-UA"/>
        </w:rPr>
      </w:pPr>
      <w:r>
        <w:t>- по 60 земельних ділянках направлено претензії на загальну суму 5</w:t>
      </w:r>
      <w:r>
        <w:rPr>
          <w:lang w:val="uk-UA"/>
        </w:rPr>
        <w:t>,8 млн</w:t>
      </w:r>
      <w:r>
        <w:t xml:space="preserve"> грн з метою спонукання землекористувачів до добровільного відшкодування безпідставно збережених коштів за використання земельних ділянок комунальної форми власності м. Івано-Франківська; </w:t>
      </w:r>
    </w:p>
    <w:p w:rsidR="000E4853" w:rsidRDefault="000E4853" w:rsidP="007B5FC8">
      <w:pPr>
        <w:ind w:firstLine="709"/>
        <w:jc w:val="both"/>
        <w:rPr>
          <w:lang w:val="uk-UA"/>
        </w:rPr>
      </w:pPr>
      <w:r>
        <w:t>- по 32 земельних ділянках матеріали на загальну суму 3</w:t>
      </w:r>
      <w:r>
        <w:rPr>
          <w:lang w:val="uk-UA"/>
        </w:rPr>
        <w:t>,</w:t>
      </w:r>
      <w:r>
        <w:t>9</w:t>
      </w:r>
      <w:r>
        <w:rPr>
          <w:lang w:val="uk-UA"/>
        </w:rPr>
        <w:t xml:space="preserve"> млн</w:t>
      </w:r>
      <w:r>
        <w:t xml:space="preserve"> грн скеровано в Департамент правової політики для подачі позовів </w:t>
      </w:r>
      <w:proofErr w:type="gramStart"/>
      <w:r>
        <w:t>до суду</w:t>
      </w:r>
      <w:proofErr w:type="gramEnd"/>
      <w:r>
        <w:t xml:space="preserve"> про стягнення безпідставно збережених коштів за використання земельних ділянок комунальної форми власності м. Івано-Франківська. </w:t>
      </w:r>
    </w:p>
    <w:p w:rsidR="001511BD" w:rsidRDefault="000E4853" w:rsidP="007B5FC8">
      <w:pPr>
        <w:ind w:firstLine="709"/>
        <w:jc w:val="both"/>
        <w:rPr>
          <w:lang w:val="uk-UA"/>
        </w:rPr>
      </w:pPr>
      <w:r>
        <w:t xml:space="preserve">Станом на </w:t>
      </w:r>
      <w:r w:rsidR="004E7F81">
        <w:rPr>
          <w:lang w:val="uk-UA"/>
        </w:rPr>
        <w:t>0</w:t>
      </w:r>
      <w:r>
        <w:t>1.01.20</w:t>
      </w:r>
      <w:r w:rsidR="004E7F81">
        <w:rPr>
          <w:lang w:val="uk-UA"/>
        </w:rPr>
        <w:t>20</w:t>
      </w:r>
      <w:r>
        <w:t xml:space="preserve"> року </w:t>
      </w:r>
      <w:r w:rsidR="001511BD">
        <w:rPr>
          <w:lang w:val="uk-UA"/>
        </w:rPr>
        <w:t>налічу</w:t>
      </w:r>
      <w:r w:rsidR="004E7F81">
        <w:rPr>
          <w:lang w:val="uk-UA"/>
        </w:rPr>
        <w:t>вало</w:t>
      </w:r>
      <w:r w:rsidR="001511BD">
        <w:rPr>
          <w:lang w:val="uk-UA"/>
        </w:rPr>
        <w:t xml:space="preserve">ся </w:t>
      </w:r>
      <w:r>
        <w:t xml:space="preserve">866 діючих договорів оренди землі загальною площею 240,2276 га на суму 47,67 млн грн річної орендної плати. З метою забезпечення надходжень до міського бюджету від плати за землю </w:t>
      </w:r>
      <w:r w:rsidR="004E7F81">
        <w:rPr>
          <w:lang w:val="uk-UA"/>
        </w:rPr>
        <w:t>у</w:t>
      </w:r>
      <w:r>
        <w:t xml:space="preserve"> 2019 ро</w:t>
      </w:r>
      <w:r w:rsidR="004E7F81">
        <w:rPr>
          <w:lang w:val="uk-UA"/>
        </w:rPr>
        <w:t>ці</w:t>
      </w:r>
      <w:r>
        <w:t xml:space="preserve"> підготовлено 139 про</w:t>
      </w:r>
      <w:r w:rsidR="004E7F81">
        <w:rPr>
          <w:lang w:val="uk-UA"/>
        </w:rPr>
        <w:t>є</w:t>
      </w:r>
      <w:r>
        <w:t xml:space="preserve">ктів договорів оренди землі та 146 додаткових угод до договорів оренди, які були передані орендарям для подальшої реєстрації. Протягом звітного періоду укладено 38 договорів купівлі-продажу земельних ділянок комунальної власності міста загальною площею 5,4381 га на суму 13,9 млн грн. </w:t>
      </w:r>
    </w:p>
    <w:p w:rsidR="001511BD" w:rsidRDefault="001511BD" w:rsidP="007B5FC8">
      <w:pPr>
        <w:ind w:firstLine="709"/>
        <w:jc w:val="both"/>
        <w:rPr>
          <w:lang w:val="uk-UA"/>
        </w:rPr>
      </w:pPr>
      <w:r>
        <w:t>На виконання рішення Івано-Франківської міс</w:t>
      </w:r>
      <w:r w:rsidR="004E7F81">
        <w:t>ької ради від 14.12.2018 року №</w:t>
      </w:r>
      <w:r>
        <w:t xml:space="preserve">379-22 "Про проведення земельних торгів" в березні 2019 року організовано чотири аукціони по шести земельних ділянках. Реалізовано право власності на земельну ділянку по вул. Тичини, 1 площею 0,0212 га, для </w:t>
      </w:r>
      <w:r>
        <w:lastRenderedPageBreak/>
        <w:t>обслуговування стоянки автомобілів за 129 242,27 грн. Не відбулися земельні торги з продажу права власності по двох земельних ділянках та права оренди однієї земельної ділянки на в</w:t>
      </w:r>
      <w:r w:rsidR="004E7F81">
        <w:t>ул.Левинського (виробнича зона)</w:t>
      </w:r>
      <w:r>
        <w:t xml:space="preserve"> у зв’язку з відсутністю учасників.</w:t>
      </w:r>
    </w:p>
    <w:p w:rsidR="001511BD" w:rsidRPr="001511BD" w:rsidRDefault="001511BD" w:rsidP="001511BD">
      <w:pPr>
        <w:shd w:val="clear" w:color="auto" w:fill="FFFFFF"/>
        <w:ind w:firstLine="709"/>
        <w:jc w:val="both"/>
        <w:rPr>
          <w:lang w:val="uk-UA"/>
        </w:rPr>
      </w:pPr>
      <w:r w:rsidRPr="001511BD">
        <w:rPr>
          <w:lang w:val="uk-UA"/>
        </w:rPr>
        <w:t>Важливим напрямком діяльності є забезпечення земельними ділянками учасників АТО та членів їх сімей. Н</w:t>
      </w:r>
      <w:r w:rsidRPr="001511BD">
        <w:t xml:space="preserve">адано дозволи на складання проєктів землеустрою щодо відведення земельних </w:t>
      </w:r>
      <w:r w:rsidR="004E7F81">
        <w:t>ділянок, для</w:t>
      </w:r>
      <w:r w:rsidRPr="001511BD">
        <w:rPr>
          <w:lang w:val="uk-UA"/>
        </w:rPr>
        <w:t>:</w:t>
      </w:r>
    </w:p>
    <w:p w:rsidR="001511BD" w:rsidRPr="001511BD" w:rsidRDefault="001511BD" w:rsidP="007B5FC8">
      <w:pPr>
        <w:ind w:firstLine="709"/>
        <w:jc w:val="both"/>
        <w:rPr>
          <w:lang w:val="uk-UA"/>
        </w:rPr>
      </w:pPr>
      <w:r w:rsidRPr="001511BD">
        <w:rPr>
          <w:lang w:val="uk-UA"/>
        </w:rPr>
        <w:t xml:space="preserve">- </w:t>
      </w:r>
      <w:r w:rsidRPr="001511BD">
        <w:t xml:space="preserve">ведення особистого селянського господарства - 3-ом членам сімей загиблих (померлих) учасників АТО; </w:t>
      </w:r>
    </w:p>
    <w:p w:rsidR="001511BD" w:rsidRPr="001511BD" w:rsidRDefault="001511BD" w:rsidP="007B5FC8">
      <w:pPr>
        <w:ind w:firstLine="709"/>
        <w:jc w:val="both"/>
        <w:rPr>
          <w:lang w:val="uk-UA"/>
        </w:rPr>
      </w:pPr>
      <w:r w:rsidRPr="001511BD">
        <w:rPr>
          <w:lang w:val="uk-UA"/>
        </w:rPr>
        <w:t xml:space="preserve">- </w:t>
      </w:r>
      <w:r w:rsidRPr="001511BD">
        <w:t>будівництва і обслуговування житлового будинку, господарських будівель і споруд (присадибна ділянка) - 2 учасникам АТО;</w:t>
      </w:r>
    </w:p>
    <w:p w:rsidR="001511BD" w:rsidRPr="001511BD" w:rsidRDefault="001511BD" w:rsidP="007B5FC8">
      <w:pPr>
        <w:ind w:firstLine="709"/>
        <w:jc w:val="both"/>
        <w:rPr>
          <w:lang w:val="uk-UA"/>
        </w:rPr>
      </w:pPr>
      <w:r w:rsidRPr="001511BD">
        <w:t xml:space="preserve"> будівництва індивідуальних гаражів - 1-ому члену сім’ї загиблого (померлого) учасника АТО, 3 учасникам АТО</w:t>
      </w:r>
      <w:r w:rsidRPr="001511BD">
        <w:rPr>
          <w:lang w:val="uk-UA"/>
        </w:rPr>
        <w:t>.</w:t>
      </w:r>
    </w:p>
    <w:p w:rsidR="001511BD" w:rsidRDefault="001511BD" w:rsidP="007B5FC8">
      <w:pPr>
        <w:ind w:firstLine="709"/>
        <w:jc w:val="both"/>
        <w:rPr>
          <w:lang w:val="uk-UA"/>
        </w:rPr>
      </w:pPr>
      <w:r w:rsidRPr="001511BD">
        <w:rPr>
          <w:lang w:val="uk-UA"/>
        </w:rPr>
        <w:t>Н</w:t>
      </w:r>
      <w:r w:rsidRPr="009C5286">
        <w:rPr>
          <w:lang w:val="uk-UA"/>
        </w:rPr>
        <w:t xml:space="preserve">адано дозвіл громадській організації </w:t>
      </w:r>
      <w:r>
        <w:rPr>
          <w:lang w:val="uk-UA"/>
        </w:rPr>
        <w:t>"</w:t>
      </w:r>
      <w:r w:rsidRPr="009C5286">
        <w:rPr>
          <w:lang w:val="uk-UA"/>
        </w:rPr>
        <w:t>Івано-Франківська обласна спілка учасників та інвалідів АТО</w:t>
      </w:r>
      <w:r>
        <w:rPr>
          <w:lang w:val="uk-UA"/>
        </w:rPr>
        <w:t>"</w:t>
      </w:r>
      <w:r w:rsidRPr="009C5286">
        <w:rPr>
          <w:lang w:val="uk-UA"/>
        </w:rPr>
        <w:t xml:space="preserve"> на</w:t>
      </w:r>
      <w:r w:rsidRPr="001511BD">
        <w:rPr>
          <w:lang w:val="uk-UA"/>
        </w:rPr>
        <w:t xml:space="preserve"> </w:t>
      </w:r>
      <w:r w:rsidRPr="009C5286">
        <w:rPr>
          <w:lang w:val="uk-UA"/>
        </w:rPr>
        <w:t xml:space="preserve">складання проєкту землеустрою щодо відведення земельної ділянки орієнтовною площею </w:t>
      </w:r>
      <w:r w:rsidRPr="001511BD">
        <w:t>0,1700 га, для будівництва та обслуговування багатоквартирного житлового будинку особам з інвалідністю та учасникам АТО</w:t>
      </w:r>
      <w:r w:rsidRPr="001511BD">
        <w:rPr>
          <w:lang w:val="uk-UA"/>
        </w:rPr>
        <w:t xml:space="preserve">  та </w:t>
      </w:r>
      <w:r w:rsidRPr="001511BD">
        <w:t>передано земельні ділянки загальною площею 4,4437 га, для будівництва багатоквартирних житлових будинків особам з інвалідністю та учасникам АТО</w:t>
      </w:r>
      <w:r w:rsidRPr="001511BD">
        <w:rPr>
          <w:lang w:val="uk-UA"/>
        </w:rPr>
        <w:t>.</w:t>
      </w:r>
    </w:p>
    <w:p w:rsidR="007B5FC8" w:rsidRPr="007B5FC8" w:rsidRDefault="007B5FC8" w:rsidP="007B5FC8">
      <w:pPr>
        <w:pStyle w:val="23"/>
        <w:tabs>
          <w:tab w:val="left" w:pos="600"/>
        </w:tabs>
        <w:spacing w:after="0" w:line="240" w:lineRule="auto"/>
        <w:jc w:val="both"/>
        <w:rPr>
          <w:highlight w:val="yellow"/>
          <w:lang w:val="uk-UA"/>
        </w:rPr>
      </w:pPr>
    </w:p>
    <w:p w:rsidR="007B5FC8" w:rsidRPr="000E4853" w:rsidRDefault="007B5FC8" w:rsidP="007B5FC8">
      <w:pPr>
        <w:ind w:firstLine="709"/>
        <w:jc w:val="both"/>
        <w:rPr>
          <w:i/>
          <w:lang w:val="uk-UA"/>
        </w:rPr>
      </w:pPr>
      <w:r w:rsidRPr="000E4853">
        <w:rPr>
          <w:i/>
          <w:lang w:val="uk-UA"/>
        </w:rPr>
        <w:t>3.8. Управління об</w:t>
      </w:r>
      <w:r w:rsidRPr="000E4853">
        <w:rPr>
          <w:rFonts w:cs="Times New Roman"/>
          <w:i/>
          <w:lang w:val="uk-UA"/>
        </w:rPr>
        <w:t>′</w:t>
      </w:r>
      <w:r w:rsidRPr="000E4853">
        <w:rPr>
          <w:i/>
          <w:lang w:val="uk-UA"/>
        </w:rPr>
        <w:t>єктами комунальної власності</w:t>
      </w:r>
    </w:p>
    <w:p w:rsidR="000E4853" w:rsidRDefault="000E4853" w:rsidP="007B5FC8">
      <w:pPr>
        <w:pStyle w:val="23"/>
        <w:shd w:val="clear" w:color="auto" w:fill="FFFFFF"/>
        <w:spacing w:after="0" w:line="240" w:lineRule="auto"/>
        <w:ind w:left="0" w:firstLine="709"/>
        <w:jc w:val="both"/>
        <w:rPr>
          <w:lang w:val="uk-UA"/>
        </w:rPr>
      </w:pPr>
      <w:r>
        <w:t xml:space="preserve">У 2019 році організовано проведення аукціону в електронній торговій системі </w:t>
      </w:r>
      <w:r w:rsidR="009B13F9">
        <w:t>"</w:t>
      </w:r>
      <w:r>
        <w:t>Prozorro Продажі</w:t>
      </w:r>
      <w:r w:rsidR="009B13F9">
        <w:t>"</w:t>
      </w:r>
      <w:r>
        <w:t xml:space="preserve"> з продажу нежитлових приміщень на вул. Кардинала Любомира Гузара, 39, від продажу якого до міського бюджету перераховано 1</w:t>
      </w:r>
      <w:r>
        <w:rPr>
          <w:lang w:val="uk-UA"/>
        </w:rPr>
        <w:t>,4 млн</w:t>
      </w:r>
      <w:r w:rsidR="00813F20">
        <w:t xml:space="preserve"> грн при початковій ціні продажу </w:t>
      </w:r>
      <w:r>
        <w:t>1</w:t>
      </w:r>
      <w:r>
        <w:rPr>
          <w:lang w:val="uk-UA"/>
        </w:rPr>
        <w:t xml:space="preserve">,1 млн </w:t>
      </w:r>
      <w:r>
        <w:t xml:space="preserve">грн. Окрім цього, проведено роботу щодо відчуження пакету акцій ПрАТ </w:t>
      </w:r>
      <w:r w:rsidR="009B13F9">
        <w:t>"</w:t>
      </w:r>
      <w:r>
        <w:t>Івано-Франківська харчосмакова фабрика</w:t>
      </w:r>
      <w:r w:rsidR="009B13F9">
        <w:t>"</w:t>
      </w:r>
      <w:r>
        <w:t>, що належав територіальній громаді міста Івано-Франківська у статутному капіталі товариства, в результаті чого було укладено договір купівлі</w:t>
      </w:r>
      <w:r w:rsidR="00813F20">
        <w:rPr>
          <w:lang w:val="uk-UA"/>
        </w:rPr>
        <w:t>-</w:t>
      </w:r>
      <w:r>
        <w:t xml:space="preserve">продажу цінних паперів на суму 1324,2 тис.грн. </w:t>
      </w:r>
      <w:r>
        <w:rPr>
          <w:lang w:val="uk-UA"/>
        </w:rPr>
        <w:t>З</w:t>
      </w:r>
      <w:r>
        <w:t>абезпечено організаційний супровід укладення договору дарування 23/100 часток футбольного стадіону для дитячо</w:t>
      </w:r>
      <w:r w:rsidR="00813F20">
        <w:rPr>
          <w:lang w:val="uk-UA"/>
        </w:rPr>
        <w:t>-</w:t>
      </w:r>
      <w:r>
        <w:t>юнацького та аматорського футболу, відповідно до якого територіальна громада міста Івано-Франківська стала співвласником згаданого стадіону, а також договору купівлі</w:t>
      </w:r>
      <w:r w:rsidR="00813F20">
        <w:rPr>
          <w:lang w:val="uk-UA"/>
        </w:rPr>
        <w:t>-</w:t>
      </w:r>
      <w:r>
        <w:t>продажу майнових прав на нерухоме майно – групу нежитлових приміщень №103, частка яких становить 88/100 від загальної площі 1063,8 кв.м цокольних приміщень в багатоквартирному будинку за адресою: м. Івано-Франківськ, вул. Софіївка, 39</w:t>
      </w:r>
      <w:proofErr w:type="gramStart"/>
      <w:r>
        <w:t>А .</w:t>
      </w:r>
      <w:proofErr w:type="gramEnd"/>
      <w:r>
        <w:t xml:space="preserve"> </w:t>
      </w:r>
    </w:p>
    <w:p w:rsidR="000E4853" w:rsidRDefault="000E4853" w:rsidP="007B5FC8">
      <w:pPr>
        <w:pStyle w:val="23"/>
        <w:shd w:val="clear" w:color="auto" w:fill="FFFFFF"/>
        <w:spacing w:after="0" w:line="240" w:lineRule="auto"/>
        <w:ind w:left="0" w:firstLine="709"/>
        <w:jc w:val="both"/>
        <w:rPr>
          <w:rFonts w:cs="Times New Roman"/>
          <w:color w:val="000000"/>
          <w:highlight w:val="yellow"/>
          <w:shd w:val="clear" w:color="auto" w:fill="FFFFFF"/>
          <w:lang w:val="uk-UA"/>
        </w:rPr>
      </w:pPr>
      <w:r>
        <w:t>За 2019 рік укладено 10 договорів купівлі-продажу об’єктів приватизації на загальну суму 10 887,225 тис. грн без ПДВ. До міського бюджету у звітному періоді перераховано кошти від відчуження майна, що перебувало у комунальній власності</w:t>
      </w:r>
      <w:r w:rsidR="00813F20">
        <w:rPr>
          <w:lang w:val="uk-UA"/>
        </w:rPr>
        <w:t>,</w:t>
      </w:r>
      <w:r>
        <w:t xml:space="preserve"> в сумі 10 887,225 тис.грн.</w:t>
      </w:r>
    </w:p>
    <w:p w:rsidR="000E4853" w:rsidRDefault="000E4853" w:rsidP="007B5FC8">
      <w:pPr>
        <w:pStyle w:val="23"/>
        <w:shd w:val="clear" w:color="auto" w:fill="FFFFFF"/>
        <w:spacing w:after="0" w:line="240" w:lineRule="auto"/>
        <w:ind w:left="0" w:firstLine="709"/>
        <w:jc w:val="both"/>
        <w:rPr>
          <w:lang w:val="uk-UA"/>
        </w:rPr>
      </w:pPr>
      <w:r>
        <w:t xml:space="preserve">Протягом 2019 року укладено 63 договори оренди нежитлових приміщень загальною площею 11 347,75 кв.м та 4 договори безоплатного користування загальною площею 501,3 кв.м. </w:t>
      </w:r>
    </w:p>
    <w:p w:rsidR="000E4853" w:rsidRDefault="000E4853" w:rsidP="007B5FC8">
      <w:pPr>
        <w:pStyle w:val="23"/>
        <w:shd w:val="clear" w:color="auto" w:fill="FFFFFF"/>
        <w:spacing w:after="0" w:line="240" w:lineRule="auto"/>
        <w:ind w:left="0" w:firstLine="709"/>
        <w:jc w:val="both"/>
        <w:rPr>
          <w:lang w:val="uk-UA"/>
        </w:rPr>
      </w:pPr>
      <w:r>
        <w:t>Станом на 31.12.2019р. на обліку перебувало:</w:t>
      </w:r>
    </w:p>
    <w:p w:rsidR="000E4853" w:rsidRDefault="000E4853" w:rsidP="007B5FC8">
      <w:pPr>
        <w:pStyle w:val="23"/>
        <w:shd w:val="clear" w:color="auto" w:fill="FFFFFF"/>
        <w:spacing w:after="0" w:line="240" w:lineRule="auto"/>
        <w:ind w:left="0" w:firstLine="709"/>
        <w:jc w:val="both"/>
        <w:rPr>
          <w:lang w:val="uk-UA"/>
        </w:rPr>
      </w:pPr>
      <w:r>
        <w:lastRenderedPageBreak/>
        <w:t xml:space="preserve"> - 465 договорів оренди нежитлових приміщень загальною площею 75 485,9 кв.м та індивідуально визначеного майна; </w:t>
      </w:r>
    </w:p>
    <w:p w:rsidR="000E4853" w:rsidRDefault="000E4853" w:rsidP="007B5FC8">
      <w:pPr>
        <w:pStyle w:val="23"/>
        <w:shd w:val="clear" w:color="auto" w:fill="FFFFFF"/>
        <w:spacing w:after="0" w:line="240" w:lineRule="auto"/>
        <w:ind w:left="0" w:firstLine="709"/>
        <w:jc w:val="both"/>
        <w:rPr>
          <w:rFonts w:cs="Times New Roman"/>
          <w:color w:val="000000"/>
          <w:highlight w:val="yellow"/>
          <w:shd w:val="clear" w:color="auto" w:fill="FFFFFF"/>
          <w:lang w:val="uk-UA"/>
        </w:rPr>
      </w:pPr>
      <w:r>
        <w:t>- 38 договорів безоплатного користування нежитлових приміщень загальною площею 7 213,83 кв.м.</w:t>
      </w:r>
    </w:p>
    <w:p w:rsidR="001511BD" w:rsidRDefault="001511BD" w:rsidP="007B5FC8">
      <w:pPr>
        <w:pStyle w:val="23"/>
        <w:shd w:val="clear" w:color="auto" w:fill="FFFFFF"/>
        <w:spacing w:after="0" w:line="240" w:lineRule="auto"/>
        <w:ind w:left="0" w:firstLine="709"/>
        <w:jc w:val="both"/>
        <w:rPr>
          <w:lang w:val="uk-UA"/>
        </w:rPr>
      </w:pPr>
      <w:r>
        <w:t>При здійсненні контролю за належним виконанням умов договорів користування комунальним майном у 2019 році підготовлено та направлено:</w:t>
      </w:r>
    </w:p>
    <w:p w:rsidR="001511BD" w:rsidRDefault="001511BD" w:rsidP="007B5FC8">
      <w:pPr>
        <w:pStyle w:val="23"/>
        <w:shd w:val="clear" w:color="auto" w:fill="FFFFFF"/>
        <w:spacing w:after="0" w:line="240" w:lineRule="auto"/>
        <w:ind w:left="0" w:firstLine="709"/>
        <w:jc w:val="both"/>
        <w:rPr>
          <w:lang w:val="uk-UA"/>
        </w:rPr>
      </w:pPr>
      <w:r>
        <w:t xml:space="preserve"> - 35 листів-повідомлень про сплату заборгованості з орендної плати, пені, 3% річних та інфляційних збитків; </w:t>
      </w:r>
    </w:p>
    <w:p w:rsidR="001511BD" w:rsidRDefault="001511BD" w:rsidP="007B5FC8">
      <w:pPr>
        <w:pStyle w:val="23"/>
        <w:shd w:val="clear" w:color="auto" w:fill="FFFFFF"/>
        <w:spacing w:after="0" w:line="240" w:lineRule="auto"/>
        <w:ind w:left="0" w:firstLine="709"/>
        <w:jc w:val="both"/>
        <w:rPr>
          <w:lang w:val="uk-UA"/>
        </w:rPr>
      </w:pPr>
      <w:r>
        <w:t xml:space="preserve">- 24 претензії про неналежне виконання зобов’язань за договором оренди та 1 повідомлення про відмову від договору оренди та звільнення нежитлових приміщень; </w:t>
      </w:r>
    </w:p>
    <w:p w:rsidR="001511BD" w:rsidRDefault="001511BD" w:rsidP="007B5FC8">
      <w:pPr>
        <w:pStyle w:val="23"/>
        <w:shd w:val="clear" w:color="auto" w:fill="FFFFFF"/>
        <w:spacing w:after="0" w:line="240" w:lineRule="auto"/>
        <w:ind w:left="0" w:firstLine="709"/>
        <w:jc w:val="both"/>
        <w:rPr>
          <w:lang w:val="uk-UA"/>
        </w:rPr>
      </w:pPr>
      <w:r>
        <w:t xml:space="preserve">- 4 подання до Департаменту правової політики про звернення в суд з позовними заявами та 1 позовну заяву до господарського суду Івано-Франківської області; </w:t>
      </w:r>
    </w:p>
    <w:p w:rsidR="000E4853" w:rsidRDefault="001511BD" w:rsidP="007B5FC8">
      <w:pPr>
        <w:pStyle w:val="23"/>
        <w:shd w:val="clear" w:color="auto" w:fill="FFFFFF"/>
        <w:spacing w:after="0" w:line="240" w:lineRule="auto"/>
        <w:ind w:left="0" w:firstLine="709"/>
        <w:jc w:val="both"/>
        <w:rPr>
          <w:rFonts w:cs="Times New Roman"/>
          <w:color w:val="000000"/>
          <w:highlight w:val="yellow"/>
          <w:shd w:val="clear" w:color="auto" w:fill="FFFFFF"/>
          <w:lang w:val="uk-UA"/>
        </w:rPr>
      </w:pPr>
      <w:r>
        <w:t>- 19 повідомлень про неналежне виконання умов договорів оренди в частині виконання умови щодо страхування орендованого майна, оформлення права користування земельною ділянкою під об’єктами оренди та інших умов договорів.</w:t>
      </w:r>
    </w:p>
    <w:p w:rsidR="007B5FC8" w:rsidRPr="007B5FC8" w:rsidRDefault="007B5FC8" w:rsidP="007B5FC8">
      <w:pPr>
        <w:pStyle w:val="12"/>
        <w:shd w:val="clear" w:color="auto" w:fill="auto"/>
        <w:tabs>
          <w:tab w:val="left" w:pos="567"/>
          <w:tab w:val="left" w:pos="709"/>
        </w:tabs>
        <w:spacing w:before="0" w:line="240" w:lineRule="auto"/>
        <w:ind w:left="40" w:firstLine="0"/>
        <w:rPr>
          <w:sz w:val="28"/>
          <w:szCs w:val="28"/>
          <w:highlight w:val="yellow"/>
          <w:shd w:val="clear" w:color="auto" w:fill="FFFFFF"/>
        </w:rPr>
      </w:pPr>
    </w:p>
    <w:p w:rsidR="007B5FC8" w:rsidRPr="007F1861" w:rsidRDefault="007B5FC8" w:rsidP="007B5FC8">
      <w:pPr>
        <w:pStyle w:val="a7"/>
        <w:numPr>
          <w:ilvl w:val="0"/>
          <w:numId w:val="2"/>
        </w:numPr>
        <w:spacing w:after="0"/>
        <w:ind w:hanging="356"/>
        <w:jc w:val="both"/>
        <w:outlineLvl w:val="0"/>
        <w:rPr>
          <w:b/>
          <w:i/>
          <w:sz w:val="28"/>
          <w:szCs w:val="28"/>
          <w:lang w:val="uk-UA"/>
        </w:rPr>
      </w:pPr>
      <w:r w:rsidRPr="007F1861">
        <w:rPr>
          <w:b/>
          <w:i/>
          <w:sz w:val="28"/>
          <w:szCs w:val="28"/>
          <w:lang w:val="uk-UA"/>
        </w:rPr>
        <w:t>Розвиток гуманітарної та соціальної сфери</w:t>
      </w:r>
    </w:p>
    <w:p w:rsidR="007B5FC8" w:rsidRPr="007B5FC8" w:rsidRDefault="007B5FC8" w:rsidP="007B5FC8">
      <w:pPr>
        <w:pStyle w:val="a7"/>
        <w:spacing w:after="0"/>
        <w:ind w:left="1065"/>
        <w:jc w:val="both"/>
        <w:outlineLvl w:val="0"/>
        <w:rPr>
          <w:sz w:val="28"/>
          <w:szCs w:val="28"/>
          <w:highlight w:val="yellow"/>
          <w:lang w:val="uk-UA"/>
        </w:rPr>
      </w:pPr>
    </w:p>
    <w:p w:rsidR="007B5FC8" w:rsidRPr="007F1861" w:rsidRDefault="007B5FC8" w:rsidP="007B5FC8">
      <w:pPr>
        <w:pStyle w:val="a7"/>
        <w:numPr>
          <w:ilvl w:val="1"/>
          <w:numId w:val="13"/>
        </w:numPr>
        <w:spacing w:after="0"/>
        <w:jc w:val="both"/>
        <w:outlineLvl w:val="0"/>
        <w:rPr>
          <w:i/>
          <w:sz w:val="28"/>
          <w:szCs w:val="28"/>
          <w:lang w:val="uk-UA"/>
        </w:rPr>
      </w:pPr>
      <w:r w:rsidRPr="007F1861">
        <w:rPr>
          <w:i/>
          <w:sz w:val="28"/>
          <w:szCs w:val="28"/>
          <w:lang w:val="uk-UA"/>
        </w:rPr>
        <w:t>Охорона здоров′я</w:t>
      </w:r>
    </w:p>
    <w:p w:rsidR="00753702" w:rsidRPr="009C5286" w:rsidRDefault="00753702" w:rsidP="007F1861">
      <w:pPr>
        <w:pStyle w:val="ac"/>
        <w:ind w:firstLine="700"/>
        <w:jc w:val="both"/>
        <w:rPr>
          <w:rFonts w:ascii="Times New Roman" w:hAnsi="Times New Roman"/>
          <w:lang w:val="uk-UA"/>
        </w:rPr>
      </w:pPr>
      <w:r w:rsidRPr="009C5286">
        <w:rPr>
          <w:rFonts w:ascii="Times New Roman" w:hAnsi="Times New Roman"/>
          <w:lang w:val="uk-UA"/>
        </w:rPr>
        <w:t>У 2019 ро</w:t>
      </w:r>
      <w:r>
        <w:rPr>
          <w:rFonts w:ascii="Times New Roman" w:hAnsi="Times New Roman"/>
          <w:lang w:val="uk-UA"/>
        </w:rPr>
        <w:t>ці</w:t>
      </w:r>
      <w:r w:rsidRPr="009C5286">
        <w:rPr>
          <w:rFonts w:ascii="Times New Roman" w:hAnsi="Times New Roman"/>
          <w:lang w:val="uk-UA"/>
        </w:rPr>
        <w:t xml:space="preserve"> реформ</w:t>
      </w:r>
      <w:r>
        <w:rPr>
          <w:rFonts w:ascii="Times New Roman" w:hAnsi="Times New Roman"/>
          <w:lang w:val="uk-UA"/>
        </w:rPr>
        <w:t>а системи охорони здоров'я</w:t>
      </w:r>
      <w:r w:rsidRPr="009C5286">
        <w:rPr>
          <w:rFonts w:ascii="Times New Roman" w:hAnsi="Times New Roman"/>
          <w:lang w:val="uk-UA"/>
        </w:rPr>
        <w:t xml:space="preserve"> найбільше торкнул</w:t>
      </w:r>
      <w:r>
        <w:rPr>
          <w:rFonts w:ascii="Times New Roman" w:hAnsi="Times New Roman"/>
          <w:lang w:val="uk-UA"/>
        </w:rPr>
        <w:t>а</w:t>
      </w:r>
      <w:r w:rsidRPr="009C5286">
        <w:rPr>
          <w:rFonts w:ascii="Times New Roman" w:hAnsi="Times New Roman"/>
          <w:lang w:val="uk-UA"/>
        </w:rPr>
        <w:t xml:space="preserve">ся первинної ланки надання медичної допомоги, створення </w:t>
      </w:r>
      <w:r w:rsidR="00D24A0C" w:rsidRPr="009C5286">
        <w:rPr>
          <w:rFonts w:ascii="Times New Roman" w:hAnsi="Times New Roman"/>
          <w:lang w:val="uk-UA"/>
        </w:rPr>
        <w:t>"</w:t>
      </w:r>
      <w:r w:rsidRPr="009C5286">
        <w:rPr>
          <w:rFonts w:ascii="Times New Roman" w:hAnsi="Times New Roman"/>
          <w:lang w:val="uk-UA"/>
        </w:rPr>
        <w:t>інституту сімейного лікаря</w:t>
      </w:r>
      <w:r w:rsidR="00D24A0C" w:rsidRPr="009C5286">
        <w:rPr>
          <w:rFonts w:ascii="Times New Roman" w:hAnsi="Times New Roman"/>
          <w:lang w:val="uk-UA"/>
        </w:rPr>
        <w:t>"</w:t>
      </w:r>
      <w:r w:rsidRPr="009C5286">
        <w:rPr>
          <w:rFonts w:ascii="Times New Roman" w:hAnsi="Times New Roman"/>
          <w:lang w:val="uk-UA"/>
        </w:rPr>
        <w:t>, укладення декларацій між лікарем та пацієнтом, оплати праці відповідно до кількості декларацій та якості надання медичної допомоги, тощо.</w:t>
      </w:r>
    </w:p>
    <w:p w:rsidR="00753702" w:rsidRPr="009C5286" w:rsidRDefault="00753702" w:rsidP="007F1861">
      <w:pPr>
        <w:pStyle w:val="ac"/>
        <w:ind w:firstLine="700"/>
        <w:jc w:val="both"/>
        <w:rPr>
          <w:rFonts w:ascii="Times New Roman" w:hAnsi="Times New Roman"/>
          <w:lang w:val="uk-UA"/>
        </w:rPr>
      </w:pPr>
      <w:r w:rsidRPr="009C5286">
        <w:rPr>
          <w:rFonts w:ascii="Times New Roman" w:hAnsi="Times New Roman"/>
          <w:lang w:val="uk-UA"/>
        </w:rPr>
        <w:t>Якісно новим підходом до реформування первинної та амбулаторно-поліклінічної (втори</w:t>
      </w:r>
      <w:r w:rsidR="000F3A3B">
        <w:rPr>
          <w:rFonts w:ascii="Times New Roman" w:hAnsi="Times New Roman"/>
          <w:lang w:val="uk-UA"/>
        </w:rPr>
        <w:t>нної) медичної допомоги в місті</w:t>
      </w:r>
      <w:r w:rsidRPr="009C5286">
        <w:rPr>
          <w:rFonts w:ascii="Times New Roman" w:hAnsi="Times New Roman"/>
          <w:lang w:val="uk-UA"/>
        </w:rPr>
        <w:t xml:space="preserve"> було створення одного закладу – комунального некомерційного підприємства </w:t>
      </w:r>
      <w:r w:rsidR="00D24A0C" w:rsidRPr="009C5286">
        <w:rPr>
          <w:rFonts w:ascii="Times New Roman" w:hAnsi="Times New Roman"/>
          <w:lang w:val="uk-UA"/>
        </w:rPr>
        <w:t>"</w:t>
      </w:r>
      <w:r w:rsidRPr="009C5286">
        <w:rPr>
          <w:rFonts w:ascii="Times New Roman" w:hAnsi="Times New Roman"/>
          <w:lang w:val="uk-UA"/>
        </w:rPr>
        <w:t>Центр первинної медичної і консультативно-діагностичної допомоги Івано-Франківської міської ради</w:t>
      </w:r>
      <w:r w:rsidR="00D24A0C" w:rsidRPr="009C5286">
        <w:rPr>
          <w:rFonts w:ascii="Times New Roman" w:hAnsi="Times New Roman"/>
          <w:lang w:val="uk-UA"/>
        </w:rPr>
        <w:t>"</w:t>
      </w:r>
      <w:r w:rsidRPr="009C5286">
        <w:rPr>
          <w:rFonts w:ascii="Times New Roman" w:hAnsi="Times New Roman"/>
          <w:lang w:val="uk-UA"/>
        </w:rPr>
        <w:t xml:space="preserve">, який об’єднав  усі міські поліклініки і дорослі, і дитячу та дозволив виробити єдині підходи та принципи надання поліклінічної медичної допомоги мешканцям міста. </w:t>
      </w:r>
    </w:p>
    <w:p w:rsidR="00753702" w:rsidRPr="009C5286" w:rsidRDefault="007F1861" w:rsidP="007F1861">
      <w:pPr>
        <w:pStyle w:val="ac"/>
        <w:ind w:firstLine="700"/>
        <w:jc w:val="both"/>
        <w:rPr>
          <w:rFonts w:ascii="Times New Roman" w:hAnsi="Times New Roman"/>
          <w:lang w:val="uk-UA"/>
        </w:rPr>
      </w:pPr>
      <w:r>
        <w:rPr>
          <w:rFonts w:ascii="Times New Roman" w:hAnsi="Times New Roman"/>
          <w:lang w:val="uk-UA"/>
        </w:rPr>
        <w:t>На кінець 2019</w:t>
      </w:r>
      <w:r w:rsidR="00B54215">
        <w:rPr>
          <w:rFonts w:ascii="Times New Roman" w:hAnsi="Times New Roman"/>
          <w:lang w:val="uk-UA"/>
        </w:rPr>
        <w:t xml:space="preserve"> </w:t>
      </w:r>
      <w:r>
        <w:rPr>
          <w:rFonts w:ascii="Times New Roman" w:hAnsi="Times New Roman"/>
          <w:lang w:val="uk-UA"/>
        </w:rPr>
        <w:t xml:space="preserve">року </w:t>
      </w:r>
      <w:r w:rsidR="00753702" w:rsidRPr="009C5286">
        <w:rPr>
          <w:rFonts w:ascii="Times New Roman" w:hAnsi="Times New Roman"/>
          <w:lang w:val="uk-UA"/>
        </w:rPr>
        <w:t xml:space="preserve">укладено 195 тисяч декларацій між пацієнтами і лікарями (80% від чисельності населення міста) </w:t>
      </w:r>
      <w:r w:rsidR="00D43F15">
        <w:rPr>
          <w:rFonts w:ascii="Times New Roman" w:hAnsi="Times New Roman"/>
          <w:lang w:val="uk-UA"/>
        </w:rPr>
        <w:t>у</w:t>
      </w:r>
      <w:r w:rsidR="00753702" w:rsidRPr="009C5286">
        <w:rPr>
          <w:rFonts w:ascii="Times New Roman" w:hAnsi="Times New Roman"/>
          <w:lang w:val="uk-UA"/>
        </w:rPr>
        <w:t xml:space="preserve"> медичній інформаційній системі </w:t>
      </w:r>
      <w:r w:rsidR="00D24A0C" w:rsidRPr="009C5286">
        <w:rPr>
          <w:rFonts w:ascii="Times New Roman" w:hAnsi="Times New Roman"/>
          <w:lang w:val="uk-UA"/>
        </w:rPr>
        <w:t>"</w:t>
      </w:r>
      <w:r w:rsidR="00753702" w:rsidRPr="009C5286">
        <w:rPr>
          <w:rFonts w:ascii="Times New Roman" w:hAnsi="Times New Roman"/>
          <w:lang w:val="uk-UA"/>
        </w:rPr>
        <w:t>Медікс</w:t>
      </w:r>
      <w:r w:rsidR="00D24A0C" w:rsidRPr="009C5286">
        <w:rPr>
          <w:rFonts w:ascii="Times New Roman" w:hAnsi="Times New Roman"/>
          <w:lang w:val="uk-UA"/>
        </w:rPr>
        <w:t>"</w:t>
      </w:r>
      <w:r w:rsidR="00753702" w:rsidRPr="009C5286">
        <w:rPr>
          <w:rFonts w:ascii="Times New Roman" w:hAnsi="Times New Roman"/>
          <w:lang w:val="uk-UA"/>
        </w:rPr>
        <w:t>, закуплено комп’ютерів для оснащення робочих місць лікарів первинної ланки на суму понад 1,0 млн гривень, тощо.</w:t>
      </w:r>
    </w:p>
    <w:p w:rsidR="00714100" w:rsidRPr="00C21BFB" w:rsidRDefault="00714100" w:rsidP="00A26144">
      <w:pPr>
        <w:pStyle w:val="ac"/>
        <w:ind w:firstLine="709"/>
        <w:jc w:val="both"/>
        <w:rPr>
          <w:rFonts w:ascii="Times New Roman" w:hAnsi="Times New Roman"/>
        </w:rPr>
      </w:pPr>
      <w:r w:rsidRPr="00C21BFB">
        <w:rPr>
          <w:rFonts w:ascii="Times New Roman" w:hAnsi="Times New Roman"/>
        </w:rPr>
        <w:t xml:space="preserve">Показники стану здоровʼя населення міста протягом останніх </w:t>
      </w:r>
      <w:r>
        <w:rPr>
          <w:rFonts w:ascii="Times New Roman" w:hAnsi="Times New Roman"/>
        </w:rPr>
        <w:t xml:space="preserve">5-и </w:t>
      </w:r>
      <w:r w:rsidRPr="00C21BFB">
        <w:rPr>
          <w:rFonts w:ascii="Times New Roman" w:hAnsi="Times New Roman"/>
        </w:rPr>
        <w:t xml:space="preserve">років є практично </w:t>
      </w:r>
      <w:r>
        <w:rPr>
          <w:rFonts w:ascii="Times New Roman" w:hAnsi="Times New Roman"/>
          <w:lang w:val="uk-UA"/>
        </w:rPr>
        <w:t>незмінними</w:t>
      </w:r>
      <w:r w:rsidRPr="00C21BFB">
        <w:rPr>
          <w:rFonts w:ascii="Times New Roman" w:hAnsi="Times New Roman"/>
        </w:rPr>
        <w:t>:</w:t>
      </w:r>
    </w:p>
    <w:p w:rsidR="00714100" w:rsidRDefault="00714100" w:rsidP="00714100">
      <w:pPr>
        <w:pStyle w:val="ac"/>
        <w:ind w:firstLine="425"/>
        <w:jc w:val="both"/>
        <w:rPr>
          <w:rFonts w:ascii="Times New Roman" w:hAnsi="Times New Roman"/>
        </w:rPr>
      </w:pPr>
      <w:r w:rsidRPr="00C21BFB">
        <w:rPr>
          <w:rFonts w:ascii="Times New Roman" w:hAnsi="Times New Roman"/>
        </w:rPr>
        <w:t xml:space="preserve">– переважають захворювання серцево-судинної системи, розлади мозкового кровообігу, </w:t>
      </w:r>
    </w:p>
    <w:p w:rsidR="00714100" w:rsidRDefault="00714100" w:rsidP="00714100">
      <w:pPr>
        <w:pStyle w:val="ac"/>
        <w:ind w:firstLine="425"/>
        <w:jc w:val="both"/>
        <w:rPr>
          <w:rFonts w:ascii="Times New Roman" w:hAnsi="Times New Roman"/>
        </w:rPr>
      </w:pPr>
      <w:r>
        <w:rPr>
          <w:rFonts w:ascii="Times New Roman" w:hAnsi="Times New Roman"/>
        </w:rPr>
        <w:t xml:space="preserve">- </w:t>
      </w:r>
      <w:r>
        <w:rPr>
          <w:rFonts w:ascii="Times New Roman" w:hAnsi="Times New Roman"/>
          <w:lang w:val="uk-UA"/>
        </w:rPr>
        <w:t xml:space="preserve">високим залишається </w:t>
      </w:r>
      <w:r w:rsidRPr="00C21BFB">
        <w:rPr>
          <w:rFonts w:ascii="Times New Roman" w:hAnsi="Times New Roman"/>
        </w:rPr>
        <w:t xml:space="preserve">рівень онкологічних </w:t>
      </w:r>
      <w:r>
        <w:rPr>
          <w:rFonts w:ascii="Times New Roman" w:hAnsi="Times New Roman"/>
          <w:lang w:val="uk-UA"/>
        </w:rPr>
        <w:t>захворювань</w:t>
      </w:r>
      <w:r w:rsidRPr="00C21BFB">
        <w:rPr>
          <w:rFonts w:ascii="Times New Roman" w:hAnsi="Times New Roman"/>
        </w:rPr>
        <w:t xml:space="preserve">, </w:t>
      </w:r>
    </w:p>
    <w:p w:rsidR="00714100" w:rsidRDefault="00714100" w:rsidP="00714100">
      <w:pPr>
        <w:pStyle w:val="ac"/>
        <w:ind w:firstLine="425"/>
        <w:jc w:val="both"/>
        <w:rPr>
          <w:rFonts w:ascii="Times New Roman" w:hAnsi="Times New Roman"/>
        </w:rPr>
      </w:pPr>
      <w:r>
        <w:rPr>
          <w:rFonts w:ascii="Times New Roman" w:hAnsi="Times New Roman"/>
        </w:rPr>
        <w:t xml:space="preserve">- </w:t>
      </w:r>
      <w:r w:rsidRPr="00C21BFB">
        <w:rPr>
          <w:rFonts w:ascii="Times New Roman" w:hAnsi="Times New Roman"/>
        </w:rPr>
        <w:t xml:space="preserve">стабільно високим </w:t>
      </w:r>
      <w:r>
        <w:rPr>
          <w:rFonts w:ascii="Times New Roman" w:hAnsi="Times New Roman"/>
        </w:rPr>
        <w:t xml:space="preserve">є </w:t>
      </w:r>
      <w:r w:rsidRPr="00C21BFB">
        <w:rPr>
          <w:rFonts w:ascii="Times New Roman" w:hAnsi="Times New Roman"/>
        </w:rPr>
        <w:t>рівень дорослої і дитячої інвалідност</w:t>
      </w:r>
      <w:r>
        <w:rPr>
          <w:rFonts w:ascii="Times New Roman" w:hAnsi="Times New Roman"/>
          <w:lang w:val="uk-UA"/>
        </w:rPr>
        <w:t>ей</w:t>
      </w:r>
      <w:r w:rsidRPr="00C21BFB">
        <w:rPr>
          <w:rFonts w:ascii="Times New Roman" w:hAnsi="Times New Roman"/>
        </w:rPr>
        <w:t xml:space="preserve">, </w:t>
      </w:r>
    </w:p>
    <w:p w:rsidR="00714100" w:rsidRPr="00C21BFB" w:rsidRDefault="00714100" w:rsidP="00714100">
      <w:pPr>
        <w:pStyle w:val="ac"/>
        <w:ind w:firstLine="425"/>
        <w:jc w:val="both"/>
        <w:rPr>
          <w:rFonts w:ascii="Times New Roman" w:hAnsi="Times New Roman"/>
        </w:rPr>
      </w:pPr>
      <w:r>
        <w:rPr>
          <w:rFonts w:ascii="Times New Roman" w:hAnsi="Times New Roman"/>
        </w:rPr>
        <w:t>-</w:t>
      </w:r>
      <w:r w:rsidRPr="00C21BFB">
        <w:rPr>
          <w:rFonts w:ascii="Times New Roman" w:hAnsi="Times New Roman"/>
        </w:rPr>
        <w:t xml:space="preserve"> зростає захворюваність на цукровий діабет у дорослих, та серед дітей до 18 років;</w:t>
      </w:r>
    </w:p>
    <w:p w:rsidR="00714100" w:rsidRDefault="00714100" w:rsidP="00714100">
      <w:pPr>
        <w:pStyle w:val="ac"/>
        <w:ind w:firstLine="425"/>
        <w:jc w:val="both"/>
        <w:rPr>
          <w:rFonts w:ascii="Times New Roman" w:hAnsi="Times New Roman"/>
        </w:rPr>
      </w:pPr>
      <w:r w:rsidRPr="00C21BFB">
        <w:rPr>
          <w:rFonts w:ascii="Times New Roman" w:hAnsi="Times New Roman"/>
        </w:rPr>
        <w:lastRenderedPageBreak/>
        <w:t>- дещо стабілізувалась кількість інфарктів та інсультів, захворювань бронхолегеневої системи</w:t>
      </w:r>
      <w:r>
        <w:rPr>
          <w:rFonts w:ascii="Times New Roman" w:hAnsi="Times New Roman"/>
        </w:rPr>
        <w:t>, тощо.</w:t>
      </w:r>
    </w:p>
    <w:p w:rsidR="00714100" w:rsidRDefault="00714100" w:rsidP="00A26144">
      <w:pPr>
        <w:pStyle w:val="ac"/>
        <w:ind w:firstLine="709"/>
        <w:jc w:val="both"/>
        <w:rPr>
          <w:rFonts w:ascii="Times New Roman" w:hAnsi="Times New Roman"/>
        </w:rPr>
      </w:pPr>
      <w:r>
        <w:rPr>
          <w:rFonts w:ascii="Times New Roman" w:hAnsi="Times New Roman"/>
        </w:rPr>
        <w:t>Важливими здобутками медичної галузі</w:t>
      </w:r>
      <w:r>
        <w:rPr>
          <w:rFonts w:ascii="Times New Roman" w:hAnsi="Times New Roman"/>
          <w:lang w:val="uk-UA"/>
        </w:rPr>
        <w:t xml:space="preserve"> є</w:t>
      </w:r>
      <w:r>
        <w:rPr>
          <w:rFonts w:ascii="Times New Roman" w:hAnsi="Times New Roman"/>
        </w:rPr>
        <w:t>:</w:t>
      </w:r>
    </w:p>
    <w:p w:rsidR="00714100" w:rsidRDefault="00714100" w:rsidP="00714100">
      <w:pPr>
        <w:pStyle w:val="ac"/>
        <w:ind w:firstLine="425"/>
        <w:jc w:val="both"/>
        <w:rPr>
          <w:rFonts w:ascii="Times New Roman" w:hAnsi="Times New Roman"/>
          <w:lang w:val="uk-UA"/>
        </w:rPr>
      </w:pPr>
      <w:r>
        <w:rPr>
          <w:rFonts w:ascii="Times New Roman" w:hAnsi="Times New Roman"/>
        </w:rPr>
        <w:t xml:space="preserve">- </w:t>
      </w:r>
      <w:r w:rsidRPr="009058C8">
        <w:rPr>
          <w:rFonts w:ascii="Times New Roman" w:hAnsi="Times New Roman"/>
        </w:rPr>
        <w:t>зроста</w:t>
      </w:r>
      <w:r>
        <w:rPr>
          <w:rFonts w:ascii="Times New Roman" w:hAnsi="Times New Roman"/>
        </w:rPr>
        <w:t>ння</w:t>
      </w:r>
      <w:r w:rsidRPr="009058C8">
        <w:rPr>
          <w:rFonts w:ascii="Times New Roman" w:hAnsi="Times New Roman"/>
        </w:rPr>
        <w:t xml:space="preserve"> народжуван</w:t>
      </w:r>
      <w:r>
        <w:rPr>
          <w:rFonts w:ascii="Times New Roman" w:hAnsi="Times New Roman"/>
        </w:rPr>
        <w:t>о</w:t>
      </w:r>
      <w:r w:rsidRPr="009058C8">
        <w:rPr>
          <w:rFonts w:ascii="Times New Roman" w:hAnsi="Times New Roman"/>
        </w:rPr>
        <w:t>ст</w:t>
      </w:r>
      <w:r>
        <w:rPr>
          <w:rFonts w:ascii="Times New Roman" w:hAnsi="Times New Roman"/>
        </w:rPr>
        <w:t>і</w:t>
      </w:r>
      <w:r>
        <w:rPr>
          <w:rFonts w:ascii="Times New Roman" w:hAnsi="Times New Roman"/>
          <w:lang w:val="uk-UA"/>
        </w:rPr>
        <w:t xml:space="preserve">; </w:t>
      </w:r>
    </w:p>
    <w:p w:rsidR="00714100" w:rsidRPr="009C5286" w:rsidRDefault="00714100" w:rsidP="00714100">
      <w:pPr>
        <w:pStyle w:val="ac"/>
        <w:ind w:firstLine="425"/>
        <w:jc w:val="both"/>
        <w:rPr>
          <w:rFonts w:ascii="Times New Roman" w:hAnsi="Times New Roman"/>
          <w:lang w:val="uk-UA"/>
        </w:rPr>
      </w:pPr>
      <w:r w:rsidRPr="009C5286">
        <w:rPr>
          <w:rFonts w:ascii="Times New Roman" w:hAnsi="Times New Roman"/>
          <w:lang w:val="uk-UA"/>
        </w:rPr>
        <w:t xml:space="preserve">- запровадження нових методів діагностики і лікування терапевтичних і хірургічних пацієнтів, </w:t>
      </w:r>
    </w:p>
    <w:p w:rsidR="00714100" w:rsidRPr="009C5286" w:rsidRDefault="00714100" w:rsidP="00714100">
      <w:pPr>
        <w:pStyle w:val="ac"/>
        <w:ind w:firstLine="425"/>
        <w:jc w:val="both"/>
        <w:rPr>
          <w:rFonts w:ascii="Times New Roman" w:hAnsi="Times New Roman"/>
          <w:lang w:val="uk-UA"/>
        </w:rPr>
      </w:pPr>
      <w:r w:rsidRPr="009C5286">
        <w:rPr>
          <w:rFonts w:ascii="Times New Roman" w:hAnsi="Times New Roman"/>
          <w:lang w:val="uk-UA"/>
        </w:rPr>
        <w:t xml:space="preserve">- </w:t>
      </w:r>
      <w:r>
        <w:rPr>
          <w:rFonts w:ascii="Times New Roman" w:hAnsi="Times New Roman"/>
          <w:lang w:val="uk-UA"/>
        </w:rPr>
        <w:t xml:space="preserve">проведення </w:t>
      </w:r>
      <w:r w:rsidRPr="009C5286">
        <w:rPr>
          <w:rFonts w:ascii="Times New Roman" w:hAnsi="Times New Roman"/>
          <w:lang w:val="uk-UA"/>
        </w:rPr>
        <w:t xml:space="preserve">лікарями кардіохірургічного відділення ЦМКЛ </w:t>
      </w:r>
      <w:r>
        <w:rPr>
          <w:rFonts w:ascii="Times New Roman" w:hAnsi="Times New Roman"/>
          <w:lang w:val="uk-UA"/>
        </w:rPr>
        <w:t xml:space="preserve">близько </w:t>
      </w:r>
      <w:r w:rsidRPr="009C5286">
        <w:rPr>
          <w:rFonts w:ascii="Times New Roman" w:hAnsi="Times New Roman"/>
          <w:lang w:val="uk-UA"/>
        </w:rPr>
        <w:t>500</w:t>
      </w:r>
      <w:r>
        <w:rPr>
          <w:rFonts w:ascii="Times New Roman" w:hAnsi="Times New Roman"/>
          <w:lang w:val="uk-UA"/>
        </w:rPr>
        <w:t xml:space="preserve"> </w:t>
      </w:r>
      <w:r w:rsidRPr="009C5286">
        <w:rPr>
          <w:rFonts w:ascii="Times New Roman" w:hAnsi="Times New Roman"/>
          <w:lang w:val="uk-UA"/>
        </w:rPr>
        <w:t xml:space="preserve">хірургічних втручань жителям міста з хворобами серця, </w:t>
      </w:r>
    </w:p>
    <w:p w:rsidR="00714100" w:rsidRDefault="00714100" w:rsidP="00714100">
      <w:pPr>
        <w:pStyle w:val="ac"/>
        <w:ind w:firstLine="425"/>
        <w:jc w:val="both"/>
        <w:rPr>
          <w:rFonts w:ascii="Times New Roman" w:hAnsi="Times New Roman"/>
        </w:rPr>
      </w:pPr>
      <w:r>
        <w:rPr>
          <w:rFonts w:ascii="Times New Roman" w:hAnsi="Times New Roman"/>
        </w:rPr>
        <w:t>- проведення лі</w:t>
      </w:r>
      <w:r w:rsidRPr="00C21BFB">
        <w:rPr>
          <w:rFonts w:ascii="Times New Roman" w:hAnsi="Times New Roman"/>
        </w:rPr>
        <w:t>кар</w:t>
      </w:r>
      <w:r>
        <w:rPr>
          <w:rFonts w:ascii="Times New Roman" w:hAnsi="Times New Roman"/>
        </w:rPr>
        <w:t>ями</w:t>
      </w:r>
      <w:r w:rsidRPr="00C21BFB">
        <w:rPr>
          <w:rFonts w:ascii="Times New Roman" w:hAnsi="Times New Roman"/>
        </w:rPr>
        <w:t xml:space="preserve"> травматологічного відділення МКЛ №1</w:t>
      </w:r>
      <w:r w:rsidRPr="00B32F6B">
        <w:rPr>
          <w:rFonts w:ascii="Times New Roman" w:hAnsi="Times New Roman"/>
        </w:rPr>
        <w:t xml:space="preserve"> </w:t>
      </w:r>
      <w:r>
        <w:rPr>
          <w:rFonts w:ascii="Times New Roman" w:hAnsi="Times New Roman"/>
          <w:lang w:val="uk-UA"/>
        </w:rPr>
        <w:t xml:space="preserve">більше 70 </w:t>
      </w:r>
      <w:r>
        <w:rPr>
          <w:rFonts w:ascii="Times New Roman" w:hAnsi="Times New Roman"/>
        </w:rPr>
        <w:t xml:space="preserve">операцій </w:t>
      </w:r>
      <w:r>
        <w:rPr>
          <w:rFonts w:ascii="Times New Roman" w:hAnsi="Times New Roman"/>
          <w:lang w:val="uk-UA"/>
        </w:rPr>
        <w:t xml:space="preserve">з </w:t>
      </w:r>
      <w:r w:rsidRPr="00C21BFB">
        <w:rPr>
          <w:rFonts w:ascii="Times New Roman" w:hAnsi="Times New Roman"/>
        </w:rPr>
        <w:t>протезування ку</w:t>
      </w:r>
      <w:r>
        <w:rPr>
          <w:rFonts w:ascii="Times New Roman" w:hAnsi="Times New Roman"/>
        </w:rPr>
        <w:t xml:space="preserve">льшового та колінного суглобів, </w:t>
      </w:r>
      <w:r w:rsidRPr="00C21BFB">
        <w:rPr>
          <w:rFonts w:ascii="Times New Roman" w:hAnsi="Times New Roman"/>
        </w:rPr>
        <w:t xml:space="preserve"> </w:t>
      </w:r>
    </w:p>
    <w:p w:rsidR="00714100" w:rsidRPr="00C21BFB" w:rsidRDefault="00714100" w:rsidP="00714100">
      <w:pPr>
        <w:pStyle w:val="ac"/>
        <w:ind w:firstLine="425"/>
        <w:jc w:val="both"/>
        <w:rPr>
          <w:rFonts w:ascii="Times New Roman" w:hAnsi="Times New Roman"/>
        </w:rPr>
      </w:pPr>
      <w:r w:rsidRPr="00C21BFB">
        <w:rPr>
          <w:rFonts w:ascii="Times New Roman" w:hAnsi="Times New Roman"/>
        </w:rPr>
        <w:t xml:space="preserve">- </w:t>
      </w:r>
      <w:r>
        <w:rPr>
          <w:rFonts w:ascii="Times New Roman" w:hAnsi="Times New Roman"/>
        </w:rPr>
        <w:t>проведення</w:t>
      </w:r>
      <w:r w:rsidRPr="00C21BFB">
        <w:rPr>
          <w:rFonts w:ascii="Times New Roman" w:hAnsi="Times New Roman"/>
        </w:rPr>
        <w:t xml:space="preserve"> безкоштовн</w:t>
      </w:r>
      <w:r>
        <w:rPr>
          <w:rFonts w:ascii="Times New Roman" w:hAnsi="Times New Roman"/>
        </w:rPr>
        <w:t>их</w:t>
      </w:r>
      <w:r w:rsidRPr="00C21BFB">
        <w:rPr>
          <w:rFonts w:ascii="Times New Roman" w:hAnsi="Times New Roman"/>
        </w:rPr>
        <w:t xml:space="preserve"> дороговартісн</w:t>
      </w:r>
      <w:r>
        <w:rPr>
          <w:rFonts w:ascii="Times New Roman" w:hAnsi="Times New Roman"/>
        </w:rPr>
        <w:t>их</w:t>
      </w:r>
      <w:r w:rsidRPr="00C21BFB">
        <w:rPr>
          <w:rFonts w:ascii="Times New Roman" w:hAnsi="Times New Roman"/>
        </w:rPr>
        <w:t xml:space="preserve"> обстежен</w:t>
      </w:r>
      <w:r>
        <w:rPr>
          <w:rFonts w:ascii="Times New Roman" w:hAnsi="Times New Roman"/>
        </w:rPr>
        <w:t>ь</w:t>
      </w:r>
      <w:r w:rsidRPr="00C21BFB">
        <w:rPr>
          <w:rFonts w:ascii="Times New Roman" w:hAnsi="Times New Roman"/>
        </w:rPr>
        <w:t xml:space="preserve"> (МРТ, комп’ютерна томографія) та лікування (відновні операції, протезування суглобів, кардіохірургічні втручання, тощо) </w:t>
      </w:r>
      <w:proofErr w:type="gramStart"/>
      <w:r w:rsidRPr="00C21BFB">
        <w:rPr>
          <w:rFonts w:ascii="Times New Roman" w:hAnsi="Times New Roman"/>
        </w:rPr>
        <w:t>учасник</w:t>
      </w:r>
      <w:r>
        <w:rPr>
          <w:rFonts w:ascii="Times New Roman" w:hAnsi="Times New Roman"/>
        </w:rPr>
        <w:t xml:space="preserve">ам </w:t>
      </w:r>
      <w:r>
        <w:rPr>
          <w:rFonts w:ascii="Times New Roman" w:hAnsi="Times New Roman"/>
          <w:lang w:val="uk-UA"/>
        </w:rPr>
        <w:t xml:space="preserve"> ООС</w:t>
      </w:r>
      <w:proofErr w:type="gramEnd"/>
      <w:r>
        <w:rPr>
          <w:rFonts w:ascii="Times New Roman" w:hAnsi="Times New Roman"/>
          <w:lang w:val="uk-UA"/>
        </w:rPr>
        <w:t xml:space="preserve"> </w:t>
      </w:r>
      <w:r>
        <w:rPr>
          <w:rFonts w:ascii="Times New Roman" w:hAnsi="Times New Roman"/>
        </w:rPr>
        <w:t>(за кошти місцевого бюджету),</w:t>
      </w:r>
    </w:p>
    <w:p w:rsidR="00714100" w:rsidRPr="009058C8" w:rsidRDefault="00714100" w:rsidP="00714100">
      <w:pPr>
        <w:ind w:firstLine="567"/>
        <w:contextualSpacing/>
        <w:jc w:val="both"/>
        <w:rPr>
          <w:rFonts w:cs="Times New Roman"/>
        </w:rPr>
      </w:pPr>
      <w:r w:rsidRPr="00C21BFB">
        <w:rPr>
          <w:rFonts w:cs="Times New Roman"/>
        </w:rPr>
        <w:t xml:space="preserve">- </w:t>
      </w:r>
      <w:r>
        <w:rPr>
          <w:rFonts w:cs="Times New Roman"/>
        </w:rPr>
        <w:t xml:space="preserve">проведення діагностики і </w:t>
      </w:r>
      <w:r w:rsidRPr="009058C8">
        <w:rPr>
          <w:rFonts w:cs="Times New Roman"/>
        </w:rPr>
        <w:t xml:space="preserve">лікування </w:t>
      </w:r>
      <w:r>
        <w:rPr>
          <w:rFonts w:cs="Times New Roman"/>
        </w:rPr>
        <w:t>осіб пільгових категорій, забезпечення пільговими медикаментами осіб з онкологічними хворобами, орфанними захворюваннями (за кошти місцевого бюджету), тощо.</w:t>
      </w:r>
    </w:p>
    <w:p w:rsidR="00411C3C" w:rsidRDefault="00411C3C" w:rsidP="00A26144">
      <w:pPr>
        <w:pStyle w:val="ac"/>
        <w:ind w:firstLine="709"/>
        <w:jc w:val="both"/>
        <w:rPr>
          <w:rFonts w:ascii="Times New Roman" w:hAnsi="Times New Roman"/>
          <w:lang w:val="uk-UA"/>
        </w:rPr>
      </w:pPr>
      <w:r>
        <w:rPr>
          <w:rFonts w:ascii="Times New Roman" w:hAnsi="Times New Roman"/>
          <w:lang w:val="uk-UA"/>
        </w:rPr>
        <w:t xml:space="preserve">Велика увага приділялася покращенню матеріально-технічного </w:t>
      </w:r>
      <w:r w:rsidR="00D43F15">
        <w:rPr>
          <w:rFonts w:ascii="Times New Roman" w:hAnsi="Times New Roman"/>
          <w:lang w:val="uk-UA"/>
        </w:rPr>
        <w:t>стану закладів охорони здоров'я.</w:t>
      </w:r>
      <w:r>
        <w:rPr>
          <w:rFonts w:ascii="Times New Roman" w:hAnsi="Times New Roman"/>
          <w:lang w:val="uk-UA"/>
        </w:rPr>
        <w:t xml:space="preserve"> </w:t>
      </w:r>
      <w:r w:rsidR="00D43F15">
        <w:rPr>
          <w:rFonts w:ascii="Times New Roman" w:hAnsi="Times New Roman"/>
          <w:lang w:val="uk-UA"/>
        </w:rPr>
        <w:t>Зокрема у 2019 році завершено</w:t>
      </w:r>
      <w:r>
        <w:rPr>
          <w:rFonts w:ascii="Times New Roman" w:hAnsi="Times New Roman"/>
          <w:lang w:val="uk-UA"/>
        </w:rPr>
        <w:t>:</w:t>
      </w:r>
    </w:p>
    <w:p w:rsidR="00411C3C" w:rsidRPr="00411C3C" w:rsidRDefault="00411C3C" w:rsidP="00A26144">
      <w:pPr>
        <w:pStyle w:val="ac"/>
        <w:ind w:firstLine="709"/>
        <w:jc w:val="both"/>
        <w:rPr>
          <w:rFonts w:ascii="Times New Roman" w:hAnsi="Times New Roman"/>
          <w:lang w:val="uk-UA"/>
        </w:rPr>
      </w:pPr>
      <w:r>
        <w:rPr>
          <w:rFonts w:ascii="Times New Roman" w:hAnsi="Times New Roman"/>
          <w:lang w:val="uk-UA"/>
        </w:rPr>
        <w:t xml:space="preserve">- </w:t>
      </w:r>
      <w:r w:rsidRPr="009C5286">
        <w:rPr>
          <w:rFonts w:ascii="Times New Roman" w:hAnsi="Times New Roman"/>
          <w:lang w:val="uk-UA"/>
        </w:rPr>
        <w:t>капітальний ремонт інфекційного відділення</w:t>
      </w:r>
      <w:r>
        <w:rPr>
          <w:rFonts w:ascii="Times New Roman" w:hAnsi="Times New Roman"/>
          <w:lang w:val="uk-UA"/>
        </w:rPr>
        <w:t xml:space="preserve"> </w:t>
      </w:r>
      <w:r w:rsidRPr="009C5286">
        <w:rPr>
          <w:rFonts w:ascii="Times New Roman" w:hAnsi="Times New Roman"/>
          <w:lang w:val="uk-UA"/>
        </w:rPr>
        <w:t xml:space="preserve">(грудний блок) </w:t>
      </w:r>
      <w:r>
        <w:rPr>
          <w:rFonts w:ascii="Times New Roman" w:hAnsi="Times New Roman"/>
          <w:lang w:val="uk-UA"/>
        </w:rPr>
        <w:t>та</w:t>
      </w:r>
      <w:r w:rsidRPr="009C5286">
        <w:rPr>
          <w:rFonts w:ascii="Times New Roman" w:hAnsi="Times New Roman"/>
          <w:lang w:val="uk-UA"/>
        </w:rPr>
        <w:t xml:space="preserve"> </w:t>
      </w:r>
      <w:r w:rsidR="00D43F15">
        <w:rPr>
          <w:rFonts w:ascii="Times New Roman" w:hAnsi="Times New Roman"/>
          <w:lang w:val="uk-UA"/>
        </w:rPr>
        <w:t>першого</w:t>
      </w:r>
      <w:r w:rsidRPr="009C5286">
        <w:rPr>
          <w:rFonts w:ascii="Times New Roman" w:hAnsi="Times New Roman"/>
          <w:lang w:val="uk-UA"/>
        </w:rPr>
        <w:t xml:space="preserve"> поверху в стаціонарі К</w:t>
      </w:r>
      <w:r>
        <w:rPr>
          <w:rFonts w:ascii="Times New Roman" w:hAnsi="Times New Roman"/>
          <w:lang w:val="uk-UA"/>
        </w:rPr>
        <w:t>НП</w:t>
      </w:r>
      <w:r w:rsidRPr="009C5286">
        <w:rPr>
          <w:rFonts w:ascii="Times New Roman" w:hAnsi="Times New Roman"/>
          <w:lang w:val="uk-UA"/>
        </w:rPr>
        <w:t xml:space="preserve"> </w:t>
      </w:r>
      <w:r>
        <w:rPr>
          <w:rFonts w:ascii="Times New Roman" w:hAnsi="Times New Roman"/>
          <w:lang w:val="uk-UA"/>
        </w:rPr>
        <w:t>"</w:t>
      </w:r>
      <w:r w:rsidRPr="009C5286">
        <w:rPr>
          <w:rFonts w:ascii="Times New Roman" w:hAnsi="Times New Roman"/>
          <w:lang w:val="uk-UA"/>
        </w:rPr>
        <w:t>Міська дитяча клінічна лікарня Івано-Франківської міської ради</w:t>
      </w:r>
      <w:r>
        <w:rPr>
          <w:rFonts w:ascii="Times New Roman" w:hAnsi="Times New Roman"/>
          <w:lang w:val="uk-UA"/>
        </w:rPr>
        <w:t>"</w:t>
      </w:r>
      <w:r w:rsidRPr="009C5286">
        <w:rPr>
          <w:rFonts w:ascii="Times New Roman" w:hAnsi="Times New Roman"/>
          <w:lang w:val="uk-UA"/>
        </w:rPr>
        <w:t xml:space="preserve"> на вул. </w:t>
      </w:r>
      <w:r w:rsidRPr="00FC35A9">
        <w:rPr>
          <w:rFonts w:ascii="Times New Roman" w:hAnsi="Times New Roman"/>
          <w:lang w:val="uk-UA"/>
        </w:rPr>
        <w:t>Чорновола, 44;</w:t>
      </w:r>
    </w:p>
    <w:p w:rsidR="00411C3C" w:rsidRPr="00411C3C" w:rsidRDefault="00411C3C" w:rsidP="00A26144">
      <w:pPr>
        <w:pStyle w:val="ac"/>
        <w:ind w:firstLine="709"/>
        <w:jc w:val="both"/>
        <w:rPr>
          <w:rFonts w:ascii="Times New Roman" w:hAnsi="Times New Roman"/>
          <w:lang w:val="uk-UA"/>
        </w:rPr>
      </w:pPr>
      <w:r w:rsidRPr="009C5286">
        <w:rPr>
          <w:rFonts w:ascii="Times New Roman" w:hAnsi="Times New Roman"/>
          <w:lang w:val="uk-UA"/>
        </w:rPr>
        <w:t>- капітальний ремонт приміщень відділення інтенсивної терапії для дорослих</w:t>
      </w:r>
      <w:r>
        <w:rPr>
          <w:rFonts w:ascii="Times New Roman" w:hAnsi="Times New Roman"/>
          <w:lang w:val="uk-UA"/>
        </w:rPr>
        <w:t xml:space="preserve"> </w:t>
      </w:r>
      <w:r w:rsidRPr="009C5286">
        <w:rPr>
          <w:rFonts w:ascii="Times New Roman" w:hAnsi="Times New Roman"/>
          <w:lang w:val="uk-UA"/>
        </w:rPr>
        <w:t>(5 поверх)</w:t>
      </w:r>
      <w:r>
        <w:rPr>
          <w:rFonts w:ascii="Times New Roman" w:hAnsi="Times New Roman"/>
          <w:lang w:val="uk-UA"/>
        </w:rPr>
        <w:t>,</w:t>
      </w:r>
      <w:r w:rsidRPr="009C5286">
        <w:rPr>
          <w:rFonts w:ascii="Times New Roman" w:hAnsi="Times New Roman"/>
          <w:lang w:val="uk-UA"/>
        </w:rPr>
        <w:t xml:space="preserve"> приміщень післяпологового відділення акушерського корпус</w:t>
      </w:r>
      <w:r>
        <w:rPr>
          <w:rFonts w:ascii="Times New Roman" w:hAnsi="Times New Roman"/>
          <w:lang w:val="uk-UA"/>
        </w:rPr>
        <w:t xml:space="preserve">у </w:t>
      </w:r>
      <w:r w:rsidRPr="009C5286">
        <w:rPr>
          <w:rFonts w:ascii="Times New Roman" w:hAnsi="Times New Roman"/>
          <w:lang w:val="uk-UA"/>
        </w:rPr>
        <w:t>(3 поверх)</w:t>
      </w:r>
      <w:r>
        <w:rPr>
          <w:rFonts w:ascii="Times New Roman" w:hAnsi="Times New Roman"/>
          <w:lang w:val="uk-UA"/>
        </w:rPr>
        <w:t>,</w:t>
      </w:r>
      <w:r w:rsidRPr="009C5286">
        <w:rPr>
          <w:rFonts w:ascii="Times New Roman" w:hAnsi="Times New Roman"/>
          <w:lang w:val="uk-UA"/>
        </w:rPr>
        <w:t xml:space="preserve"> приймального відділення гінекологічного корпусу</w:t>
      </w:r>
      <w:r>
        <w:rPr>
          <w:rFonts w:ascii="Times New Roman" w:hAnsi="Times New Roman"/>
          <w:lang w:val="uk-UA"/>
        </w:rPr>
        <w:t xml:space="preserve"> а також проведено </w:t>
      </w:r>
      <w:r w:rsidRPr="009C5286">
        <w:rPr>
          <w:rFonts w:ascii="Times New Roman" w:hAnsi="Times New Roman"/>
          <w:lang w:val="uk-UA"/>
        </w:rPr>
        <w:t>ремонт (замін</w:t>
      </w:r>
      <w:r>
        <w:rPr>
          <w:rFonts w:ascii="Times New Roman" w:hAnsi="Times New Roman"/>
          <w:lang w:val="uk-UA"/>
        </w:rPr>
        <w:t>у</w:t>
      </w:r>
      <w:r w:rsidRPr="009C5286">
        <w:rPr>
          <w:rFonts w:ascii="Times New Roman" w:hAnsi="Times New Roman"/>
          <w:lang w:val="uk-UA"/>
        </w:rPr>
        <w:t>) вікон і дверей в приміщеннях</w:t>
      </w:r>
      <w:r>
        <w:rPr>
          <w:rFonts w:ascii="Times New Roman" w:hAnsi="Times New Roman"/>
          <w:lang w:val="uk-UA"/>
        </w:rPr>
        <w:t xml:space="preserve"> </w:t>
      </w:r>
      <w:r w:rsidRPr="009C5286">
        <w:rPr>
          <w:rFonts w:ascii="Times New Roman" w:hAnsi="Times New Roman"/>
          <w:lang w:val="uk-UA"/>
        </w:rPr>
        <w:t xml:space="preserve"> КНП </w:t>
      </w:r>
      <w:r>
        <w:rPr>
          <w:rFonts w:ascii="Times New Roman" w:hAnsi="Times New Roman"/>
          <w:lang w:val="uk-UA"/>
        </w:rPr>
        <w:t>"</w:t>
      </w:r>
      <w:r w:rsidRPr="009C5286">
        <w:rPr>
          <w:rFonts w:ascii="Times New Roman" w:hAnsi="Times New Roman"/>
          <w:lang w:val="uk-UA"/>
        </w:rPr>
        <w:t>Івано-Франківський міський клінічний перинатальний центр</w:t>
      </w:r>
      <w:r>
        <w:rPr>
          <w:rFonts w:ascii="Times New Roman" w:hAnsi="Times New Roman"/>
          <w:lang w:val="uk-UA"/>
        </w:rPr>
        <w:t>"</w:t>
      </w:r>
      <w:r w:rsidRPr="009C5286">
        <w:rPr>
          <w:rFonts w:ascii="Times New Roman" w:hAnsi="Times New Roman"/>
          <w:lang w:val="uk-UA"/>
        </w:rPr>
        <w:t xml:space="preserve">; </w:t>
      </w:r>
    </w:p>
    <w:p w:rsidR="00714100" w:rsidRDefault="00714100" w:rsidP="00A26144">
      <w:pPr>
        <w:pStyle w:val="ac"/>
        <w:ind w:firstLine="709"/>
        <w:jc w:val="both"/>
        <w:rPr>
          <w:rFonts w:ascii="Times New Roman" w:hAnsi="Times New Roman"/>
        </w:rPr>
      </w:pPr>
      <w:r>
        <w:rPr>
          <w:rFonts w:ascii="Times New Roman" w:hAnsi="Times New Roman"/>
        </w:rPr>
        <w:t>На даний час проводяться опоряджувальні роботи:</w:t>
      </w:r>
    </w:p>
    <w:p w:rsidR="00714100" w:rsidRDefault="00714100" w:rsidP="00714100">
      <w:pPr>
        <w:pStyle w:val="ac"/>
        <w:ind w:firstLine="425"/>
        <w:jc w:val="both"/>
        <w:rPr>
          <w:rFonts w:ascii="Times New Roman" w:hAnsi="Times New Roman"/>
        </w:rPr>
      </w:pPr>
      <w:r>
        <w:rPr>
          <w:rFonts w:ascii="Times New Roman" w:hAnsi="Times New Roman"/>
        </w:rPr>
        <w:t xml:space="preserve">- в приміщеннях новозбудованого комплексу міської поліклініки №4 по вулиці Софіївка, </w:t>
      </w:r>
    </w:p>
    <w:p w:rsidR="00714100" w:rsidRDefault="00714100" w:rsidP="00714100">
      <w:pPr>
        <w:pStyle w:val="ac"/>
        <w:ind w:firstLine="425"/>
        <w:jc w:val="both"/>
        <w:rPr>
          <w:rFonts w:ascii="Times New Roman" w:hAnsi="Times New Roman"/>
        </w:rPr>
      </w:pPr>
      <w:r>
        <w:rPr>
          <w:rFonts w:ascii="Times New Roman" w:hAnsi="Times New Roman"/>
        </w:rPr>
        <w:t xml:space="preserve">- </w:t>
      </w:r>
      <w:r w:rsidR="00D43F15">
        <w:rPr>
          <w:rFonts w:ascii="Times New Roman" w:hAnsi="Times New Roman"/>
        </w:rPr>
        <w:t>роб</w:t>
      </w:r>
      <w:r w:rsidR="00D43F15">
        <w:rPr>
          <w:rFonts w:ascii="Times New Roman" w:hAnsi="Times New Roman"/>
          <w:lang w:val="uk-UA"/>
        </w:rPr>
        <w:t>о</w:t>
      </w:r>
      <w:r w:rsidR="00D43F15">
        <w:rPr>
          <w:rFonts w:ascii="Times New Roman" w:hAnsi="Times New Roman"/>
        </w:rPr>
        <w:t>т</w:t>
      </w:r>
      <w:r w:rsidR="00D43F15">
        <w:rPr>
          <w:rFonts w:ascii="Times New Roman" w:hAnsi="Times New Roman"/>
          <w:lang w:val="uk-UA"/>
        </w:rPr>
        <w:t>и</w:t>
      </w:r>
      <w:r w:rsidR="00D43F15">
        <w:rPr>
          <w:rFonts w:ascii="Times New Roman" w:hAnsi="Times New Roman"/>
        </w:rPr>
        <w:t xml:space="preserve"> </w:t>
      </w:r>
      <w:r w:rsidR="00D43F15">
        <w:rPr>
          <w:rFonts w:ascii="Times New Roman" w:hAnsi="Times New Roman"/>
          <w:lang w:val="uk-UA"/>
        </w:rPr>
        <w:t xml:space="preserve">з </w:t>
      </w:r>
      <w:r>
        <w:rPr>
          <w:rFonts w:ascii="Times New Roman" w:hAnsi="Times New Roman"/>
        </w:rPr>
        <w:t>капітальн</w:t>
      </w:r>
      <w:r w:rsidR="00D43F15">
        <w:rPr>
          <w:rFonts w:ascii="Times New Roman" w:hAnsi="Times New Roman"/>
          <w:lang w:val="uk-UA"/>
        </w:rPr>
        <w:t>ого</w:t>
      </w:r>
      <w:r>
        <w:rPr>
          <w:rFonts w:ascii="Times New Roman" w:hAnsi="Times New Roman"/>
        </w:rPr>
        <w:t xml:space="preserve"> ремонт</w:t>
      </w:r>
      <w:r w:rsidR="00D43F15">
        <w:rPr>
          <w:rFonts w:ascii="Times New Roman" w:hAnsi="Times New Roman"/>
          <w:lang w:val="uk-UA"/>
        </w:rPr>
        <w:t>у</w:t>
      </w:r>
      <w:r w:rsidR="00D43F15">
        <w:rPr>
          <w:rFonts w:ascii="Times New Roman" w:hAnsi="Times New Roman"/>
        </w:rPr>
        <w:t xml:space="preserve"> </w:t>
      </w:r>
      <w:r>
        <w:rPr>
          <w:rFonts w:ascii="Times New Roman" w:hAnsi="Times New Roman"/>
        </w:rPr>
        <w:t>в приміщенні по вул.Тролейбусні,</w:t>
      </w:r>
      <w:r w:rsidR="00D43F15">
        <w:rPr>
          <w:rFonts w:ascii="Times New Roman" w:hAnsi="Times New Roman"/>
          <w:lang w:val="uk-UA"/>
        </w:rPr>
        <w:t xml:space="preserve"> </w:t>
      </w:r>
      <w:r>
        <w:rPr>
          <w:rFonts w:ascii="Times New Roman" w:hAnsi="Times New Roman"/>
        </w:rPr>
        <w:t xml:space="preserve">22а для </w:t>
      </w:r>
      <w:r>
        <w:rPr>
          <w:rFonts w:ascii="Times New Roman" w:hAnsi="Times New Roman"/>
          <w:lang w:val="uk-UA"/>
        </w:rPr>
        <w:t xml:space="preserve">облаштування </w:t>
      </w:r>
      <w:r>
        <w:rPr>
          <w:rFonts w:ascii="Times New Roman" w:hAnsi="Times New Roman"/>
        </w:rPr>
        <w:t>відділення загальної практики сімейної медицини</w:t>
      </w:r>
      <w:r>
        <w:rPr>
          <w:rFonts w:ascii="Times New Roman" w:hAnsi="Times New Roman"/>
          <w:lang w:val="uk-UA"/>
        </w:rPr>
        <w:t xml:space="preserve">; </w:t>
      </w:r>
      <w:r>
        <w:rPr>
          <w:rFonts w:ascii="Times New Roman" w:hAnsi="Times New Roman"/>
        </w:rPr>
        <w:t xml:space="preserve"> </w:t>
      </w:r>
    </w:p>
    <w:p w:rsidR="00714100" w:rsidRDefault="00714100" w:rsidP="00714100">
      <w:pPr>
        <w:pStyle w:val="ac"/>
        <w:ind w:firstLine="425"/>
        <w:jc w:val="both"/>
        <w:rPr>
          <w:rFonts w:ascii="Times New Roman" w:hAnsi="Times New Roman"/>
          <w:lang w:val="uk-UA"/>
        </w:rPr>
      </w:pPr>
      <w:r>
        <w:rPr>
          <w:rFonts w:ascii="Times New Roman" w:hAnsi="Times New Roman"/>
        </w:rPr>
        <w:t xml:space="preserve">- </w:t>
      </w:r>
      <w:r w:rsidR="00D43F15">
        <w:rPr>
          <w:rFonts w:ascii="Times New Roman" w:hAnsi="Times New Roman"/>
        </w:rPr>
        <w:t>роб</w:t>
      </w:r>
      <w:r w:rsidR="00D43F15">
        <w:rPr>
          <w:rFonts w:ascii="Times New Roman" w:hAnsi="Times New Roman"/>
          <w:lang w:val="uk-UA"/>
        </w:rPr>
        <w:t>о</w:t>
      </w:r>
      <w:r w:rsidR="00D43F15">
        <w:rPr>
          <w:rFonts w:ascii="Times New Roman" w:hAnsi="Times New Roman"/>
        </w:rPr>
        <w:t>т</w:t>
      </w:r>
      <w:r w:rsidR="00D43F15">
        <w:rPr>
          <w:rFonts w:ascii="Times New Roman" w:hAnsi="Times New Roman"/>
          <w:lang w:val="uk-UA"/>
        </w:rPr>
        <w:t>и</w:t>
      </w:r>
      <w:r w:rsidR="00D43F15">
        <w:rPr>
          <w:rFonts w:ascii="Times New Roman" w:hAnsi="Times New Roman"/>
        </w:rPr>
        <w:t xml:space="preserve"> </w:t>
      </w:r>
      <w:r>
        <w:rPr>
          <w:rFonts w:ascii="Times New Roman" w:hAnsi="Times New Roman"/>
        </w:rPr>
        <w:t>капітальн</w:t>
      </w:r>
      <w:r w:rsidR="00D43F15">
        <w:rPr>
          <w:rFonts w:ascii="Times New Roman" w:hAnsi="Times New Roman"/>
          <w:lang w:val="uk-UA"/>
        </w:rPr>
        <w:t>ого</w:t>
      </w:r>
      <w:r>
        <w:rPr>
          <w:rFonts w:ascii="Times New Roman" w:hAnsi="Times New Roman"/>
        </w:rPr>
        <w:t xml:space="preserve"> ремонт</w:t>
      </w:r>
      <w:r w:rsidR="00D43F15">
        <w:rPr>
          <w:rFonts w:ascii="Times New Roman" w:hAnsi="Times New Roman"/>
          <w:lang w:val="uk-UA"/>
        </w:rPr>
        <w:t>у</w:t>
      </w:r>
      <w:r>
        <w:rPr>
          <w:rFonts w:ascii="Times New Roman" w:hAnsi="Times New Roman"/>
        </w:rPr>
        <w:t xml:space="preserve"> в </w:t>
      </w:r>
      <w:proofErr w:type="gramStart"/>
      <w:r>
        <w:rPr>
          <w:rFonts w:ascii="Times New Roman" w:hAnsi="Times New Roman"/>
        </w:rPr>
        <w:t>приміщенні  педіатричного</w:t>
      </w:r>
      <w:proofErr w:type="gramEnd"/>
      <w:r>
        <w:rPr>
          <w:rFonts w:ascii="Times New Roman" w:hAnsi="Times New Roman"/>
        </w:rPr>
        <w:t xml:space="preserve"> відділення №7 </w:t>
      </w:r>
      <w:r w:rsidR="00D43F15">
        <w:rPr>
          <w:rFonts w:ascii="Times New Roman" w:hAnsi="Times New Roman"/>
          <w:lang w:val="uk-UA"/>
        </w:rPr>
        <w:t>у</w:t>
      </w:r>
      <w:r>
        <w:rPr>
          <w:rFonts w:ascii="Times New Roman" w:hAnsi="Times New Roman"/>
        </w:rPr>
        <w:t xml:space="preserve"> мікрорайоні </w:t>
      </w:r>
      <w:r w:rsidR="00D43F15">
        <w:rPr>
          <w:rFonts w:ascii="Times New Roman" w:hAnsi="Times New Roman"/>
          <w:lang w:val="uk-UA"/>
        </w:rPr>
        <w:t>"</w:t>
      </w:r>
      <w:r>
        <w:rPr>
          <w:rFonts w:ascii="Times New Roman" w:hAnsi="Times New Roman"/>
        </w:rPr>
        <w:t>Пасічна</w:t>
      </w:r>
      <w:r w:rsidR="00D43F15">
        <w:rPr>
          <w:rFonts w:ascii="Times New Roman" w:hAnsi="Times New Roman"/>
          <w:lang w:val="uk-UA"/>
        </w:rPr>
        <w:t>"</w:t>
      </w:r>
      <w:r>
        <w:rPr>
          <w:rFonts w:ascii="Times New Roman" w:hAnsi="Times New Roman"/>
          <w:lang w:val="uk-UA"/>
        </w:rPr>
        <w:t>.</w:t>
      </w:r>
    </w:p>
    <w:p w:rsidR="00714100" w:rsidRPr="009C5286" w:rsidRDefault="00714100" w:rsidP="00A26144">
      <w:pPr>
        <w:pStyle w:val="ac"/>
        <w:ind w:firstLine="709"/>
        <w:jc w:val="both"/>
        <w:rPr>
          <w:rFonts w:ascii="Times New Roman" w:hAnsi="Times New Roman"/>
          <w:lang w:val="uk-UA"/>
        </w:rPr>
      </w:pPr>
      <w:r w:rsidRPr="009C5286">
        <w:rPr>
          <w:rFonts w:ascii="Times New Roman" w:hAnsi="Times New Roman"/>
          <w:lang w:val="uk-UA"/>
        </w:rPr>
        <w:t>У 2019 році міська дитяча клінічна лікарня стала переможцем у конкурсі парципаторного бюджетування щодо закупівлі обладнання для діагностики та лікування хвороб органів дихання у дітей (бюджет</w:t>
      </w:r>
      <w:r>
        <w:rPr>
          <w:rFonts w:ascii="Times New Roman" w:hAnsi="Times New Roman"/>
          <w:lang w:val="uk-UA"/>
        </w:rPr>
        <w:t xml:space="preserve"> проекту -</w:t>
      </w:r>
      <w:r w:rsidRPr="009C5286">
        <w:rPr>
          <w:rFonts w:ascii="Times New Roman" w:hAnsi="Times New Roman"/>
          <w:lang w:val="uk-UA"/>
        </w:rPr>
        <w:t xml:space="preserve"> 42,0 тис.грн).</w:t>
      </w:r>
    </w:p>
    <w:p w:rsidR="00714100" w:rsidRPr="009C5286" w:rsidRDefault="00714100" w:rsidP="00A26144">
      <w:pPr>
        <w:pStyle w:val="ac"/>
        <w:ind w:firstLine="709"/>
        <w:jc w:val="both"/>
        <w:rPr>
          <w:rFonts w:ascii="Times New Roman" w:hAnsi="Times New Roman"/>
          <w:lang w:val="uk-UA"/>
        </w:rPr>
      </w:pPr>
      <w:r w:rsidRPr="009C5286">
        <w:rPr>
          <w:rFonts w:ascii="Times New Roman" w:hAnsi="Times New Roman"/>
          <w:lang w:val="uk-UA"/>
        </w:rPr>
        <w:t xml:space="preserve">У центральній міській клінічній лікарні, яка з червня 2019 року перетворена в комунальне некомерційне підприємство </w:t>
      </w:r>
      <w:r w:rsidR="00D24A0C" w:rsidRPr="009C5286">
        <w:rPr>
          <w:rFonts w:ascii="Times New Roman" w:hAnsi="Times New Roman"/>
          <w:lang w:val="uk-UA"/>
        </w:rPr>
        <w:t>"</w:t>
      </w:r>
      <w:r w:rsidRPr="009C5286">
        <w:rPr>
          <w:rFonts w:ascii="Times New Roman" w:hAnsi="Times New Roman"/>
          <w:lang w:val="uk-UA"/>
        </w:rPr>
        <w:t>Центральна міська клінічна лікарня Івано-Франківської міської ради</w:t>
      </w:r>
      <w:r w:rsidR="00D24A0C" w:rsidRPr="009C5286">
        <w:rPr>
          <w:rFonts w:ascii="Times New Roman" w:hAnsi="Times New Roman"/>
          <w:lang w:val="uk-UA"/>
        </w:rPr>
        <w:t>"</w:t>
      </w:r>
      <w:r w:rsidRPr="009C5286">
        <w:rPr>
          <w:rFonts w:ascii="Times New Roman" w:hAnsi="Times New Roman"/>
          <w:lang w:val="uk-UA"/>
        </w:rPr>
        <w:t xml:space="preserve">,  запроваджено ряд нових медичних технологій – стентування при інфаркті міокарду, що здійснюється для мешканців цілої області,  кардіохірургічні операції, в тому числі -  на відкритому серці,  проведення тромболізису у пацієнтів з гострим інсультом, операції стентування у пацієнтів з хірургічними захворюваннями нирок, судин, розширення спектру операцій на органах шлунково-кишкового тракту, тощо. </w:t>
      </w:r>
    </w:p>
    <w:p w:rsidR="00714100" w:rsidRPr="009C5286" w:rsidRDefault="0031141D" w:rsidP="00A26144">
      <w:pPr>
        <w:pStyle w:val="ac"/>
        <w:tabs>
          <w:tab w:val="left" w:pos="709"/>
        </w:tabs>
        <w:ind w:firstLine="709"/>
        <w:jc w:val="both"/>
        <w:rPr>
          <w:rFonts w:ascii="Times New Roman" w:hAnsi="Times New Roman"/>
          <w:lang w:val="uk-UA"/>
        </w:rPr>
      </w:pPr>
      <w:r>
        <w:rPr>
          <w:rFonts w:ascii="Times New Roman" w:hAnsi="Times New Roman"/>
          <w:lang w:val="uk-UA"/>
        </w:rPr>
        <w:lastRenderedPageBreak/>
        <w:t>У</w:t>
      </w:r>
      <w:r w:rsidR="00714100" w:rsidRPr="009C5286">
        <w:rPr>
          <w:rFonts w:ascii="Times New Roman" w:hAnsi="Times New Roman"/>
          <w:lang w:val="uk-UA"/>
        </w:rPr>
        <w:t xml:space="preserve"> жовтн</w:t>
      </w:r>
      <w:r>
        <w:rPr>
          <w:rFonts w:ascii="Times New Roman" w:hAnsi="Times New Roman"/>
          <w:lang w:val="uk-UA"/>
        </w:rPr>
        <w:t xml:space="preserve">і </w:t>
      </w:r>
      <w:r w:rsidR="00714100" w:rsidRPr="009C5286">
        <w:rPr>
          <w:rFonts w:ascii="Times New Roman" w:hAnsi="Times New Roman"/>
          <w:lang w:val="uk-UA"/>
        </w:rPr>
        <w:t xml:space="preserve">2019 року в місті Івано-Франківську створено єдиний заклад стоматологічної допомоги для дітей та дорослих шляхом об’єднання міської дитячої стоматологічної поліклініки та дорослої міської стоматологічної поліклініки </w:t>
      </w:r>
      <w:r w:rsidR="001E6713">
        <w:rPr>
          <w:rFonts w:ascii="Times New Roman" w:hAnsi="Times New Roman"/>
          <w:lang w:val="uk-UA"/>
        </w:rPr>
        <w:t>в</w:t>
      </w:r>
      <w:r w:rsidR="00714100" w:rsidRPr="009C5286">
        <w:rPr>
          <w:rFonts w:ascii="Times New Roman" w:hAnsi="Times New Roman"/>
          <w:lang w:val="uk-UA"/>
        </w:rPr>
        <w:t xml:space="preserve"> комунальне некомерційне підприємство </w:t>
      </w:r>
      <w:r w:rsidR="00D24A0C" w:rsidRPr="009C5286">
        <w:rPr>
          <w:rFonts w:ascii="Times New Roman" w:hAnsi="Times New Roman"/>
          <w:lang w:val="uk-UA"/>
        </w:rPr>
        <w:t>"</w:t>
      </w:r>
      <w:r w:rsidR="00714100" w:rsidRPr="009C5286">
        <w:rPr>
          <w:rFonts w:ascii="Times New Roman" w:hAnsi="Times New Roman"/>
          <w:lang w:val="uk-UA"/>
        </w:rPr>
        <w:t>Міська стоматологічна поліклініка Івано-Франківської міської ради</w:t>
      </w:r>
      <w:r w:rsidR="00D24A0C" w:rsidRPr="009C5286">
        <w:rPr>
          <w:rFonts w:ascii="Times New Roman" w:hAnsi="Times New Roman"/>
          <w:lang w:val="uk-UA"/>
        </w:rPr>
        <w:t>"</w:t>
      </w:r>
      <w:r w:rsidR="00714100" w:rsidRPr="009C5286">
        <w:rPr>
          <w:rFonts w:ascii="Times New Roman" w:hAnsi="Times New Roman"/>
          <w:lang w:val="uk-UA"/>
        </w:rPr>
        <w:t>, що дасть можливість організувати більш якісне надання стоматологічної допомоги дітям і дорослим, зберегти колективи в час ризиків і викликів реформування стоматологічної медичної допомоги.</w:t>
      </w:r>
    </w:p>
    <w:p w:rsidR="006720A6" w:rsidRPr="006720A6" w:rsidRDefault="00714100" w:rsidP="00C811FF">
      <w:pPr>
        <w:pStyle w:val="ac"/>
        <w:ind w:firstLine="425"/>
        <w:jc w:val="both"/>
        <w:rPr>
          <w:rFonts w:ascii="Times New Roman" w:hAnsi="Times New Roman"/>
          <w:lang w:val="uk-UA"/>
        </w:rPr>
      </w:pPr>
      <w:r w:rsidRPr="009C5286">
        <w:rPr>
          <w:rFonts w:ascii="Times New Roman" w:hAnsi="Times New Roman"/>
          <w:lang w:val="uk-UA"/>
        </w:rPr>
        <w:t xml:space="preserve"> </w:t>
      </w:r>
      <w:r w:rsidR="007B5FC8" w:rsidRPr="006720A6">
        <w:rPr>
          <w:rFonts w:ascii="Times New Roman" w:hAnsi="Times New Roman"/>
          <w:lang w:val="uk-UA"/>
        </w:rPr>
        <w:t>У 201</w:t>
      </w:r>
      <w:r w:rsidR="006720A6" w:rsidRPr="006720A6">
        <w:rPr>
          <w:rFonts w:ascii="Times New Roman" w:hAnsi="Times New Roman"/>
          <w:lang w:val="uk-UA"/>
        </w:rPr>
        <w:t>9</w:t>
      </w:r>
      <w:r w:rsidR="007B5FC8" w:rsidRPr="006720A6">
        <w:rPr>
          <w:rFonts w:ascii="Times New Roman" w:hAnsi="Times New Roman"/>
          <w:lang w:val="uk-UA"/>
        </w:rPr>
        <w:t xml:space="preserve"> році продовжувались роботи з капітальних ремонтів приміщень в закладах охорони здоров’я  міста</w:t>
      </w:r>
      <w:r w:rsidR="0031141D">
        <w:rPr>
          <w:rFonts w:ascii="Times New Roman" w:hAnsi="Times New Roman"/>
          <w:lang w:val="uk-UA"/>
        </w:rPr>
        <w:t xml:space="preserve"> </w:t>
      </w:r>
      <w:r w:rsidR="0031141D" w:rsidRPr="0031141D">
        <w:rPr>
          <w:rFonts w:ascii="Times New Roman" w:hAnsi="Times New Roman"/>
        </w:rPr>
        <w:t>на суму понад 13,2 млн</w:t>
      </w:r>
      <w:r w:rsidR="0031141D" w:rsidRPr="0031141D">
        <w:rPr>
          <w:rFonts w:ascii="Times New Roman" w:hAnsi="Times New Roman"/>
          <w:lang w:val="uk-UA"/>
        </w:rPr>
        <w:t xml:space="preserve"> </w:t>
      </w:r>
      <w:r w:rsidR="0031141D" w:rsidRPr="0031141D">
        <w:rPr>
          <w:rFonts w:ascii="Times New Roman" w:hAnsi="Times New Roman"/>
        </w:rPr>
        <w:t>грн</w:t>
      </w:r>
      <w:r w:rsidR="006720A6" w:rsidRPr="006720A6">
        <w:rPr>
          <w:rFonts w:ascii="Times New Roman" w:hAnsi="Times New Roman"/>
          <w:lang w:val="uk-UA"/>
        </w:rPr>
        <w:t>, з</w:t>
      </w:r>
      <w:r w:rsidR="006720A6" w:rsidRPr="006720A6">
        <w:rPr>
          <w:rFonts w:ascii="Times New Roman" w:hAnsi="Times New Roman"/>
        </w:rPr>
        <w:t xml:space="preserve">агалом роботи виконувалися у наступних закладах: </w:t>
      </w:r>
    </w:p>
    <w:p w:rsidR="006720A6" w:rsidRPr="006720A6" w:rsidRDefault="001E6713" w:rsidP="0031141D">
      <w:pPr>
        <w:pStyle w:val="ac"/>
        <w:numPr>
          <w:ilvl w:val="0"/>
          <w:numId w:val="26"/>
        </w:numPr>
        <w:ind w:left="426" w:hanging="426"/>
        <w:jc w:val="both"/>
        <w:rPr>
          <w:rFonts w:ascii="Times New Roman" w:hAnsi="Times New Roman"/>
          <w:lang w:val="uk-UA"/>
        </w:rPr>
      </w:pPr>
      <w:r>
        <w:rPr>
          <w:rFonts w:ascii="Times New Roman" w:hAnsi="Times New Roman"/>
          <w:lang w:val="uk-UA"/>
        </w:rPr>
        <w:t>урологічому</w:t>
      </w:r>
      <w:r w:rsidR="006720A6" w:rsidRPr="009C5286">
        <w:rPr>
          <w:rFonts w:ascii="Times New Roman" w:hAnsi="Times New Roman"/>
          <w:lang w:val="uk-UA"/>
        </w:rPr>
        <w:t xml:space="preserve"> і ревматологічн</w:t>
      </w:r>
      <w:r>
        <w:rPr>
          <w:rFonts w:ascii="Times New Roman" w:hAnsi="Times New Roman"/>
          <w:lang w:val="uk-UA"/>
        </w:rPr>
        <w:t>ому</w:t>
      </w:r>
      <w:r w:rsidR="006720A6" w:rsidRPr="009C5286">
        <w:rPr>
          <w:rFonts w:ascii="Times New Roman" w:hAnsi="Times New Roman"/>
          <w:lang w:val="uk-UA"/>
        </w:rPr>
        <w:t xml:space="preserve"> відділен</w:t>
      </w:r>
      <w:r w:rsidR="006720A6" w:rsidRPr="006720A6">
        <w:rPr>
          <w:rFonts w:ascii="Times New Roman" w:hAnsi="Times New Roman"/>
          <w:lang w:val="uk-UA"/>
        </w:rPr>
        <w:t>н</w:t>
      </w:r>
      <w:r>
        <w:rPr>
          <w:rFonts w:ascii="Times New Roman" w:hAnsi="Times New Roman"/>
          <w:lang w:val="uk-UA"/>
        </w:rPr>
        <w:t>і</w:t>
      </w:r>
      <w:r w:rsidR="006720A6" w:rsidRPr="009C5286">
        <w:rPr>
          <w:rFonts w:ascii="Times New Roman" w:hAnsi="Times New Roman"/>
          <w:lang w:val="uk-UA"/>
        </w:rPr>
        <w:t xml:space="preserve"> ЦМКЛ</w:t>
      </w:r>
      <w:r w:rsidR="006720A6" w:rsidRPr="006720A6">
        <w:rPr>
          <w:rFonts w:ascii="Times New Roman" w:hAnsi="Times New Roman"/>
          <w:lang w:val="uk-UA"/>
        </w:rPr>
        <w:t>;</w:t>
      </w:r>
    </w:p>
    <w:p w:rsidR="006720A6" w:rsidRPr="006720A6" w:rsidRDefault="00172906" w:rsidP="0031141D">
      <w:pPr>
        <w:pStyle w:val="ac"/>
        <w:numPr>
          <w:ilvl w:val="0"/>
          <w:numId w:val="26"/>
        </w:numPr>
        <w:ind w:left="426" w:hanging="426"/>
        <w:jc w:val="both"/>
        <w:rPr>
          <w:rFonts w:ascii="Times New Roman" w:hAnsi="Times New Roman"/>
          <w:lang w:val="uk-UA"/>
        </w:rPr>
      </w:pPr>
      <w:r>
        <w:rPr>
          <w:rFonts w:ascii="Times New Roman" w:hAnsi="Times New Roman"/>
          <w:lang w:val="uk-UA"/>
        </w:rPr>
        <w:t>операційних</w:t>
      </w:r>
      <w:r w:rsidR="006720A6" w:rsidRPr="009C5286">
        <w:rPr>
          <w:rFonts w:ascii="Times New Roman" w:hAnsi="Times New Roman"/>
          <w:lang w:val="uk-UA"/>
        </w:rPr>
        <w:t xml:space="preserve"> блок</w:t>
      </w:r>
      <w:r>
        <w:rPr>
          <w:rFonts w:ascii="Times New Roman" w:hAnsi="Times New Roman"/>
          <w:lang w:val="uk-UA"/>
        </w:rPr>
        <w:t>ах</w:t>
      </w:r>
      <w:r w:rsidR="006720A6" w:rsidRPr="009C5286">
        <w:rPr>
          <w:rFonts w:ascii="Times New Roman" w:hAnsi="Times New Roman"/>
          <w:lang w:val="uk-UA"/>
        </w:rPr>
        <w:t xml:space="preserve"> хірургічного і травматологічного відділення</w:t>
      </w:r>
      <w:r w:rsidR="006720A6" w:rsidRPr="006720A6">
        <w:rPr>
          <w:rFonts w:ascii="Times New Roman" w:hAnsi="Times New Roman"/>
          <w:lang w:val="uk-UA"/>
        </w:rPr>
        <w:t xml:space="preserve"> </w:t>
      </w:r>
      <w:r w:rsidR="006720A6" w:rsidRPr="009C5286">
        <w:rPr>
          <w:rFonts w:ascii="Times New Roman" w:hAnsi="Times New Roman"/>
          <w:lang w:val="uk-UA"/>
        </w:rPr>
        <w:t>МКЛ №1</w:t>
      </w:r>
      <w:r w:rsidR="006720A6" w:rsidRPr="006720A6">
        <w:rPr>
          <w:rFonts w:ascii="Times New Roman" w:hAnsi="Times New Roman"/>
          <w:lang w:val="uk-UA"/>
        </w:rPr>
        <w:t>;</w:t>
      </w:r>
    </w:p>
    <w:p w:rsidR="006720A6" w:rsidRPr="006720A6" w:rsidRDefault="006720A6" w:rsidP="0031141D">
      <w:pPr>
        <w:pStyle w:val="ac"/>
        <w:numPr>
          <w:ilvl w:val="0"/>
          <w:numId w:val="26"/>
        </w:numPr>
        <w:ind w:left="426" w:hanging="426"/>
        <w:jc w:val="both"/>
        <w:rPr>
          <w:rFonts w:ascii="Times New Roman" w:hAnsi="Times New Roman"/>
          <w:lang w:val="uk-UA"/>
        </w:rPr>
      </w:pPr>
      <w:r w:rsidRPr="009C5286">
        <w:rPr>
          <w:rFonts w:ascii="Times New Roman" w:hAnsi="Times New Roman"/>
          <w:lang w:val="uk-UA"/>
        </w:rPr>
        <w:t xml:space="preserve"> </w:t>
      </w:r>
      <w:r w:rsidRPr="006720A6">
        <w:rPr>
          <w:rFonts w:ascii="Times New Roman" w:hAnsi="Times New Roman"/>
        </w:rPr>
        <w:t>підвальн</w:t>
      </w:r>
      <w:r w:rsidR="00172906">
        <w:rPr>
          <w:rFonts w:ascii="Times New Roman" w:hAnsi="Times New Roman"/>
          <w:lang w:val="uk-UA"/>
        </w:rPr>
        <w:t>ому</w:t>
      </w:r>
      <w:r w:rsidR="00172906">
        <w:rPr>
          <w:rFonts w:ascii="Times New Roman" w:hAnsi="Times New Roman"/>
        </w:rPr>
        <w:t xml:space="preserve"> приміщенн</w:t>
      </w:r>
      <w:r w:rsidR="00172906">
        <w:rPr>
          <w:rFonts w:ascii="Times New Roman" w:hAnsi="Times New Roman"/>
          <w:lang w:val="uk-UA"/>
        </w:rPr>
        <w:t>і</w:t>
      </w:r>
      <w:r w:rsidRPr="006720A6">
        <w:rPr>
          <w:rFonts w:ascii="Times New Roman" w:hAnsi="Times New Roman"/>
        </w:rPr>
        <w:t xml:space="preserve"> і частин</w:t>
      </w:r>
      <w:r w:rsidR="00172906">
        <w:rPr>
          <w:rFonts w:ascii="Times New Roman" w:hAnsi="Times New Roman"/>
          <w:lang w:val="uk-UA"/>
        </w:rPr>
        <w:t>і</w:t>
      </w:r>
      <w:r w:rsidRPr="006720A6">
        <w:rPr>
          <w:rFonts w:ascii="Times New Roman" w:hAnsi="Times New Roman"/>
        </w:rPr>
        <w:t xml:space="preserve"> інфекційного педіатричного відділення в МДКЛ</w:t>
      </w:r>
      <w:r w:rsidRPr="006720A6">
        <w:rPr>
          <w:rFonts w:ascii="Times New Roman" w:hAnsi="Times New Roman"/>
          <w:lang w:val="uk-UA"/>
        </w:rPr>
        <w:t>;</w:t>
      </w:r>
    </w:p>
    <w:p w:rsidR="006720A6" w:rsidRPr="006720A6" w:rsidRDefault="006720A6" w:rsidP="0031141D">
      <w:pPr>
        <w:pStyle w:val="ac"/>
        <w:numPr>
          <w:ilvl w:val="0"/>
          <w:numId w:val="26"/>
        </w:numPr>
        <w:ind w:left="426" w:hanging="426"/>
        <w:jc w:val="both"/>
        <w:rPr>
          <w:rFonts w:ascii="Times New Roman" w:hAnsi="Times New Roman"/>
          <w:lang w:val="uk-UA"/>
        </w:rPr>
      </w:pPr>
      <w:r w:rsidRPr="006720A6">
        <w:rPr>
          <w:rFonts w:ascii="Times New Roman" w:hAnsi="Times New Roman"/>
        </w:rPr>
        <w:t>облаштовано хірургічний і рентгенологічний кабінети</w:t>
      </w:r>
      <w:r w:rsidRPr="006720A6">
        <w:rPr>
          <w:rFonts w:ascii="Times New Roman" w:hAnsi="Times New Roman"/>
          <w:lang w:val="uk-UA"/>
        </w:rPr>
        <w:t xml:space="preserve"> </w:t>
      </w:r>
      <w:r w:rsidRPr="006720A6">
        <w:rPr>
          <w:rFonts w:ascii="Times New Roman" w:hAnsi="Times New Roman"/>
        </w:rPr>
        <w:t>в центрі первинної медичної допомоги</w:t>
      </w:r>
      <w:r w:rsidRPr="006720A6">
        <w:rPr>
          <w:rFonts w:ascii="Times New Roman" w:hAnsi="Times New Roman"/>
          <w:lang w:val="uk-UA"/>
        </w:rPr>
        <w:t>;</w:t>
      </w:r>
    </w:p>
    <w:p w:rsidR="006720A6" w:rsidRDefault="006720A6" w:rsidP="0031141D">
      <w:pPr>
        <w:pStyle w:val="ac"/>
        <w:numPr>
          <w:ilvl w:val="0"/>
          <w:numId w:val="26"/>
        </w:numPr>
        <w:ind w:left="426" w:hanging="426"/>
        <w:jc w:val="both"/>
        <w:rPr>
          <w:rFonts w:ascii="Times New Roman" w:hAnsi="Times New Roman"/>
          <w:lang w:val="uk-UA"/>
        </w:rPr>
      </w:pPr>
      <w:r w:rsidRPr="006720A6">
        <w:rPr>
          <w:rFonts w:ascii="Times New Roman" w:hAnsi="Times New Roman"/>
        </w:rPr>
        <w:t xml:space="preserve">відремонтовано дах </w:t>
      </w:r>
      <w:r w:rsidR="00172906">
        <w:rPr>
          <w:rFonts w:ascii="Times New Roman" w:hAnsi="Times New Roman"/>
          <w:lang w:val="uk-UA"/>
        </w:rPr>
        <w:t>у</w:t>
      </w:r>
      <w:r w:rsidRPr="006720A6">
        <w:rPr>
          <w:rFonts w:ascii="Times New Roman" w:hAnsi="Times New Roman"/>
        </w:rPr>
        <w:t xml:space="preserve"> міській поліклініці №5</w:t>
      </w:r>
      <w:r w:rsidRPr="006720A6">
        <w:rPr>
          <w:rFonts w:ascii="Times New Roman" w:hAnsi="Times New Roman"/>
          <w:lang w:val="uk-UA"/>
        </w:rPr>
        <w:t>;</w:t>
      </w:r>
    </w:p>
    <w:p w:rsidR="0031141D" w:rsidRPr="0031141D" w:rsidRDefault="0031141D" w:rsidP="00915C4C">
      <w:pPr>
        <w:pStyle w:val="ac"/>
        <w:ind w:left="426" w:hanging="426"/>
        <w:jc w:val="both"/>
        <w:rPr>
          <w:rFonts w:ascii="Times New Roman" w:hAnsi="Times New Roman"/>
          <w:lang w:val="uk-UA"/>
        </w:rPr>
      </w:pPr>
      <w:r>
        <w:rPr>
          <w:rFonts w:ascii="Times New Roman" w:hAnsi="Times New Roman"/>
          <w:lang w:val="uk-UA"/>
        </w:rPr>
        <w:t xml:space="preserve">-    </w:t>
      </w:r>
      <w:r w:rsidRPr="0031141D">
        <w:rPr>
          <w:rFonts w:ascii="Times New Roman" w:hAnsi="Times New Roman"/>
        </w:rPr>
        <w:t>капітально відремонтовано приймальне відділення акушерського</w:t>
      </w:r>
      <w:r w:rsidRPr="006720A6">
        <w:rPr>
          <w:rFonts w:ascii="Times New Roman" w:hAnsi="Times New Roman"/>
        </w:rPr>
        <w:t xml:space="preserve"> корпусу, приймальне відділення гінекологічного корпусу, три пологові зали в міському перинатальному центрі</w:t>
      </w:r>
      <w:r>
        <w:rPr>
          <w:rFonts w:ascii="Times New Roman" w:hAnsi="Times New Roman"/>
          <w:lang w:val="uk-UA"/>
        </w:rPr>
        <w:t xml:space="preserve">. </w:t>
      </w:r>
    </w:p>
    <w:p w:rsidR="007B5FC8" w:rsidRPr="006720A6" w:rsidRDefault="007B5FC8" w:rsidP="007B5FC8">
      <w:pPr>
        <w:pStyle w:val="ab"/>
        <w:spacing w:before="0" w:beforeAutospacing="0" w:after="0" w:afterAutospacing="0"/>
        <w:ind w:firstLine="567"/>
        <w:jc w:val="both"/>
        <w:rPr>
          <w:sz w:val="28"/>
          <w:szCs w:val="28"/>
          <w:lang w:val="uk-UA"/>
        </w:rPr>
      </w:pPr>
      <w:r w:rsidRPr="006720A6">
        <w:rPr>
          <w:sz w:val="28"/>
          <w:szCs w:val="28"/>
          <w:lang w:val="uk-UA"/>
        </w:rPr>
        <w:t xml:space="preserve">Придбано  діагностичну і лікувальну апаратуру, обладнання та устаткування, зокрема:    </w:t>
      </w:r>
    </w:p>
    <w:p w:rsidR="006720A6" w:rsidRPr="006720A6" w:rsidRDefault="007B5FC8" w:rsidP="007B5FC8">
      <w:pPr>
        <w:pStyle w:val="ac"/>
        <w:numPr>
          <w:ilvl w:val="0"/>
          <w:numId w:val="18"/>
        </w:numPr>
        <w:ind w:left="426" w:hanging="426"/>
        <w:jc w:val="both"/>
        <w:rPr>
          <w:rFonts w:ascii="Times New Roman" w:hAnsi="Times New Roman"/>
          <w:lang w:val="uk-UA"/>
        </w:rPr>
      </w:pPr>
      <w:r w:rsidRPr="006720A6">
        <w:rPr>
          <w:rFonts w:ascii="Times New Roman" w:hAnsi="Times New Roman"/>
          <w:lang w:val="uk-UA"/>
        </w:rPr>
        <w:t xml:space="preserve"> </w:t>
      </w:r>
      <w:r w:rsidR="006720A6" w:rsidRPr="006720A6">
        <w:rPr>
          <w:rFonts w:ascii="Times New Roman" w:hAnsi="Times New Roman"/>
        </w:rPr>
        <w:t>дисектор ультразвуковий для МКЛ №1</w:t>
      </w:r>
      <w:r w:rsidR="006720A6" w:rsidRPr="006720A6">
        <w:rPr>
          <w:rFonts w:ascii="Times New Roman" w:hAnsi="Times New Roman"/>
          <w:lang w:val="uk-UA"/>
        </w:rPr>
        <w:t>;</w:t>
      </w:r>
    </w:p>
    <w:p w:rsidR="006720A6" w:rsidRPr="006720A6" w:rsidRDefault="006720A6" w:rsidP="007B5FC8">
      <w:pPr>
        <w:pStyle w:val="ac"/>
        <w:numPr>
          <w:ilvl w:val="0"/>
          <w:numId w:val="18"/>
        </w:numPr>
        <w:ind w:left="426" w:hanging="426"/>
        <w:jc w:val="both"/>
        <w:rPr>
          <w:rFonts w:ascii="Times New Roman" w:hAnsi="Times New Roman"/>
          <w:lang w:val="uk-UA"/>
        </w:rPr>
      </w:pPr>
      <w:r w:rsidRPr="006720A6">
        <w:rPr>
          <w:rFonts w:ascii="Times New Roman" w:hAnsi="Times New Roman"/>
        </w:rPr>
        <w:t>електрокардіограф для ЦМКЛ</w:t>
      </w:r>
      <w:r w:rsidRPr="006720A6">
        <w:rPr>
          <w:rFonts w:ascii="Times New Roman" w:hAnsi="Times New Roman"/>
          <w:lang w:val="uk-UA"/>
        </w:rPr>
        <w:t>;</w:t>
      </w:r>
    </w:p>
    <w:p w:rsidR="006720A6" w:rsidRPr="006720A6" w:rsidRDefault="006720A6" w:rsidP="007B5FC8">
      <w:pPr>
        <w:pStyle w:val="ac"/>
        <w:numPr>
          <w:ilvl w:val="0"/>
          <w:numId w:val="18"/>
        </w:numPr>
        <w:ind w:left="426" w:hanging="426"/>
        <w:jc w:val="both"/>
        <w:rPr>
          <w:rFonts w:ascii="Times New Roman" w:hAnsi="Times New Roman"/>
          <w:lang w:val="uk-UA"/>
        </w:rPr>
      </w:pPr>
      <w:r w:rsidRPr="006720A6">
        <w:rPr>
          <w:rFonts w:ascii="Times New Roman" w:hAnsi="Times New Roman"/>
        </w:rPr>
        <w:t xml:space="preserve">новий сучасний апарат для штучної вентиляції легень для новонароджених </w:t>
      </w:r>
      <w:proofErr w:type="gramStart"/>
      <w:r w:rsidRPr="006720A6">
        <w:rPr>
          <w:rFonts w:ascii="Times New Roman" w:hAnsi="Times New Roman"/>
        </w:rPr>
        <w:t>для перинатального центру</w:t>
      </w:r>
      <w:proofErr w:type="gramEnd"/>
      <w:r>
        <w:rPr>
          <w:rFonts w:ascii="Times New Roman" w:hAnsi="Times New Roman"/>
          <w:lang w:val="uk-UA"/>
        </w:rPr>
        <w:t>.</w:t>
      </w:r>
    </w:p>
    <w:p w:rsidR="006720A6" w:rsidRPr="006720A6" w:rsidRDefault="006720A6" w:rsidP="006720A6">
      <w:pPr>
        <w:pStyle w:val="ac"/>
        <w:ind w:left="426"/>
        <w:jc w:val="both"/>
        <w:rPr>
          <w:rFonts w:ascii="Times New Roman" w:hAnsi="Times New Roman"/>
          <w:lang w:val="uk-UA"/>
        </w:rPr>
      </w:pPr>
    </w:p>
    <w:p w:rsidR="007B5FC8" w:rsidRPr="009068D8" w:rsidRDefault="007B5FC8" w:rsidP="007B5FC8">
      <w:pPr>
        <w:pStyle w:val="a7"/>
        <w:numPr>
          <w:ilvl w:val="1"/>
          <w:numId w:val="13"/>
        </w:numPr>
        <w:spacing w:after="0"/>
        <w:ind w:left="1134"/>
        <w:jc w:val="both"/>
        <w:outlineLvl w:val="0"/>
        <w:rPr>
          <w:i/>
          <w:sz w:val="28"/>
          <w:szCs w:val="28"/>
          <w:lang w:val="uk-UA"/>
        </w:rPr>
      </w:pPr>
      <w:r w:rsidRPr="009068D8">
        <w:rPr>
          <w:i/>
          <w:sz w:val="28"/>
          <w:szCs w:val="28"/>
          <w:lang w:val="uk-UA"/>
        </w:rPr>
        <w:t>Освіта</w:t>
      </w:r>
    </w:p>
    <w:p w:rsidR="007B5FC8" w:rsidRPr="009068D8" w:rsidRDefault="007B5FC8" w:rsidP="00E144E7">
      <w:pPr>
        <w:pStyle w:val="a7"/>
        <w:spacing w:before="240" w:after="0"/>
        <w:ind w:left="0" w:firstLine="709"/>
        <w:jc w:val="both"/>
        <w:outlineLvl w:val="0"/>
        <w:rPr>
          <w:sz w:val="28"/>
          <w:szCs w:val="28"/>
          <w:lang w:val="uk-UA"/>
        </w:rPr>
      </w:pPr>
      <w:r w:rsidRPr="009068D8">
        <w:rPr>
          <w:sz w:val="28"/>
          <w:szCs w:val="28"/>
          <w:lang w:val="uk-UA"/>
        </w:rPr>
        <w:t>Дошкільна освіта.</w:t>
      </w:r>
    </w:p>
    <w:p w:rsidR="00447F21" w:rsidRDefault="009068D8" w:rsidP="00447F21">
      <w:pPr>
        <w:ind w:firstLine="709"/>
        <w:jc w:val="both"/>
        <w:rPr>
          <w:lang w:val="uk-UA"/>
        </w:rPr>
      </w:pPr>
      <w:r w:rsidRPr="009068D8">
        <w:rPr>
          <w:lang w:val="uk-UA"/>
        </w:rPr>
        <w:t>Ф</w:t>
      </w:r>
      <w:r w:rsidRPr="009C5286">
        <w:rPr>
          <w:lang w:val="uk-UA"/>
        </w:rPr>
        <w:t>актичн</w:t>
      </w:r>
      <w:r w:rsidRPr="009068D8">
        <w:rPr>
          <w:lang w:val="uk-UA"/>
        </w:rPr>
        <w:t>а</w:t>
      </w:r>
      <w:r w:rsidRPr="009C5286">
        <w:rPr>
          <w:lang w:val="uk-UA"/>
        </w:rPr>
        <w:t xml:space="preserve"> мереж</w:t>
      </w:r>
      <w:r w:rsidRPr="009068D8">
        <w:rPr>
          <w:lang w:val="uk-UA"/>
        </w:rPr>
        <w:t>а</w:t>
      </w:r>
      <w:r w:rsidRPr="009C5286">
        <w:rPr>
          <w:lang w:val="uk-UA"/>
        </w:rPr>
        <w:t xml:space="preserve"> закладів дошкільної освіти на 2019-2020</w:t>
      </w:r>
      <w:r>
        <w:rPr>
          <w:lang w:val="uk-UA"/>
        </w:rPr>
        <w:t xml:space="preserve"> </w:t>
      </w:r>
      <w:r w:rsidRPr="009C5286">
        <w:rPr>
          <w:lang w:val="uk-UA"/>
        </w:rPr>
        <w:t>н</w:t>
      </w:r>
      <w:r>
        <w:rPr>
          <w:lang w:val="uk-UA"/>
        </w:rPr>
        <w:t xml:space="preserve">авчальний рік </w:t>
      </w:r>
      <w:r w:rsidRPr="009068D8">
        <w:rPr>
          <w:lang w:val="uk-UA"/>
        </w:rPr>
        <w:t>становить</w:t>
      </w:r>
      <w:r w:rsidRPr="009C5286">
        <w:rPr>
          <w:lang w:val="uk-UA"/>
        </w:rPr>
        <w:t xml:space="preserve"> 35 </w:t>
      </w:r>
      <w:r w:rsidRPr="009068D8">
        <w:rPr>
          <w:lang w:val="uk-UA"/>
        </w:rPr>
        <w:t xml:space="preserve">закладів </w:t>
      </w:r>
      <w:r w:rsidRPr="009C5286">
        <w:rPr>
          <w:lang w:val="uk-UA"/>
        </w:rPr>
        <w:t xml:space="preserve">(33 -комунальних, 1 – відомчий, 1 – приватний), ЗШС І ступеня №3, 2 початкових школи з дошкільними відділеннями (комунальної форми власності), 1 навчально-реабілітаційний центр з дошкільними групами та 2 приватні навчально-виховні комплекси. </w:t>
      </w:r>
      <w:r w:rsidRPr="009068D8">
        <w:t xml:space="preserve">У них виховується та навчається 9828 дітей (проектна потужність усіх груп </w:t>
      </w:r>
      <w:proofErr w:type="gramStart"/>
      <w:r w:rsidRPr="009068D8">
        <w:t>у закладах</w:t>
      </w:r>
      <w:proofErr w:type="gramEnd"/>
      <w:r w:rsidRPr="009068D8">
        <w:t xml:space="preserve"> за нормативами наповнюваності становить 6341 місць). Кількість груп </w:t>
      </w:r>
      <w:proofErr w:type="gramStart"/>
      <w:r w:rsidRPr="009068D8">
        <w:t xml:space="preserve">у </w:t>
      </w:r>
      <w:r w:rsidRPr="009068D8">
        <w:rPr>
          <w:lang w:val="uk-UA"/>
        </w:rPr>
        <w:t>закладах</w:t>
      </w:r>
      <w:proofErr w:type="gramEnd"/>
      <w:r w:rsidRPr="009068D8">
        <w:rPr>
          <w:lang w:val="uk-UA"/>
        </w:rPr>
        <w:t xml:space="preserve"> дошкільної освіти налічує </w:t>
      </w:r>
      <w:r w:rsidRPr="009068D8">
        <w:t>342</w:t>
      </w:r>
      <w:r w:rsidRPr="009068D8">
        <w:rPr>
          <w:lang w:val="uk-UA"/>
        </w:rPr>
        <w:t>, з них:</w:t>
      </w:r>
      <w:r w:rsidRPr="009068D8">
        <w:t xml:space="preserve"> 40 груп раннього віку та 302 дошкільні. </w:t>
      </w:r>
    </w:p>
    <w:p w:rsidR="00447F21" w:rsidRPr="009068D8" w:rsidRDefault="00447F21" w:rsidP="00447F21">
      <w:pPr>
        <w:ind w:firstLine="709"/>
        <w:jc w:val="both"/>
        <w:rPr>
          <w:lang w:val="uk-UA"/>
        </w:rPr>
      </w:pPr>
      <w:r w:rsidRPr="009068D8">
        <w:t xml:space="preserve">Відсоток охоплення дітей від 3-6 років </w:t>
      </w:r>
      <w:r w:rsidRPr="009068D8">
        <w:rPr>
          <w:lang w:val="uk-UA"/>
        </w:rPr>
        <w:t xml:space="preserve">дошкільними закладами </w:t>
      </w:r>
      <w:r w:rsidRPr="009068D8">
        <w:t>становить 95%, дітей старшого дошкільного віку - 99%. Загальний показник в Україні – лише 74%.</w:t>
      </w:r>
    </w:p>
    <w:p w:rsidR="00447F21" w:rsidRPr="009068D8" w:rsidRDefault="00447F21" w:rsidP="00447F21">
      <w:pPr>
        <w:pStyle w:val="a7"/>
        <w:spacing w:after="0"/>
        <w:ind w:left="0" w:firstLine="709"/>
        <w:jc w:val="both"/>
        <w:outlineLvl w:val="0"/>
        <w:rPr>
          <w:sz w:val="28"/>
          <w:szCs w:val="28"/>
          <w:highlight w:val="yellow"/>
          <w:lang w:val="uk-UA"/>
        </w:rPr>
      </w:pPr>
      <w:r w:rsidRPr="009068D8">
        <w:rPr>
          <w:sz w:val="28"/>
          <w:szCs w:val="28"/>
          <w:lang w:val="uk-UA"/>
        </w:rPr>
        <w:t xml:space="preserve">Продовжується </w:t>
      </w:r>
      <w:r w:rsidRPr="009068D8">
        <w:rPr>
          <w:sz w:val="28"/>
          <w:szCs w:val="28"/>
        </w:rPr>
        <w:t>поетапне впровадження інклюзивної освіти у закладах дошкільної освіти: у 25 закладах відкрито 53 інклюзивні групи</w:t>
      </w:r>
      <w:r w:rsidRPr="009068D8">
        <w:rPr>
          <w:sz w:val="28"/>
          <w:szCs w:val="28"/>
          <w:lang w:val="uk-UA"/>
        </w:rPr>
        <w:t>.</w:t>
      </w:r>
    </w:p>
    <w:p w:rsidR="009068D8" w:rsidRPr="009068D8" w:rsidRDefault="009068D8" w:rsidP="007B5FC8">
      <w:pPr>
        <w:pStyle w:val="a7"/>
        <w:spacing w:after="0"/>
        <w:ind w:left="0" w:firstLine="709"/>
        <w:jc w:val="both"/>
        <w:outlineLvl w:val="0"/>
        <w:rPr>
          <w:sz w:val="28"/>
          <w:szCs w:val="28"/>
          <w:lang w:val="uk-UA"/>
        </w:rPr>
      </w:pPr>
      <w:r w:rsidRPr="009068D8">
        <w:rPr>
          <w:sz w:val="28"/>
          <w:szCs w:val="28"/>
        </w:rPr>
        <w:t>Реалізовується план розширення мережі закладів дошкільної освіти на 2019- 2020н.р. Завер</w:t>
      </w:r>
      <w:r w:rsidR="00E144E7">
        <w:rPr>
          <w:sz w:val="28"/>
          <w:szCs w:val="28"/>
        </w:rPr>
        <w:t>шуються ремонтні роботи в ЗДО №</w:t>
      </w:r>
      <w:r w:rsidRPr="009068D8">
        <w:rPr>
          <w:sz w:val="28"/>
          <w:szCs w:val="28"/>
        </w:rPr>
        <w:t xml:space="preserve">21 </w:t>
      </w:r>
      <w:r w:rsidR="00D24A0C">
        <w:rPr>
          <w:sz w:val="28"/>
          <w:szCs w:val="28"/>
        </w:rPr>
        <w:t>"</w:t>
      </w:r>
      <w:r w:rsidRPr="009068D8">
        <w:rPr>
          <w:sz w:val="28"/>
          <w:szCs w:val="28"/>
        </w:rPr>
        <w:t>Подоляночка</w:t>
      </w:r>
      <w:r w:rsidR="00D24A0C">
        <w:rPr>
          <w:sz w:val="28"/>
          <w:szCs w:val="28"/>
        </w:rPr>
        <w:t>"</w:t>
      </w:r>
      <w:r w:rsidRPr="009068D8">
        <w:rPr>
          <w:sz w:val="28"/>
          <w:szCs w:val="28"/>
        </w:rPr>
        <w:t xml:space="preserve"> на </w:t>
      </w:r>
      <w:r w:rsidRPr="009068D8">
        <w:rPr>
          <w:sz w:val="28"/>
          <w:szCs w:val="28"/>
        </w:rPr>
        <w:lastRenderedPageBreak/>
        <w:t>вул.</w:t>
      </w:r>
      <w:r w:rsidR="00E144E7">
        <w:rPr>
          <w:sz w:val="28"/>
          <w:szCs w:val="28"/>
          <w:lang w:val="uk-UA"/>
        </w:rPr>
        <w:t>Г.</w:t>
      </w:r>
      <w:r w:rsidRPr="009068D8">
        <w:rPr>
          <w:sz w:val="28"/>
          <w:szCs w:val="28"/>
        </w:rPr>
        <w:t>Хоткевича, 11а (7 груп – 130 місць). Розпочато будівництво навчально-виховного комплек</w:t>
      </w:r>
      <w:r w:rsidR="00E144E7">
        <w:rPr>
          <w:sz w:val="28"/>
          <w:szCs w:val="28"/>
        </w:rPr>
        <w:t>су Івано-Франківської ЗШ №6 ім</w:t>
      </w:r>
      <w:r w:rsidRPr="009068D8">
        <w:rPr>
          <w:sz w:val="28"/>
          <w:szCs w:val="28"/>
        </w:rPr>
        <w:t xml:space="preserve"> І.Ревчука в мікрорайоні Опришівці. Завершується виготовлення проектнокошторисної документації реконструкції закладу дошкільної освіти на вул. С.Бандери, 10а (8 груп – 150 місць). Проводяться роботи щодо будівництва </w:t>
      </w:r>
      <w:r>
        <w:rPr>
          <w:sz w:val="28"/>
          <w:szCs w:val="28"/>
          <w:lang w:val="uk-UA"/>
        </w:rPr>
        <w:t>дитячого садочка</w:t>
      </w:r>
      <w:r w:rsidRPr="009068D8">
        <w:rPr>
          <w:sz w:val="28"/>
          <w:szCs w:val="28"/>
        </w:rPr>
        <w:t xml:space="preserve"> в мікрорайоні </w:t>
      </w:r>
      <w:r w:rsidR="00D24A0C">
        <w:rPr>
          <w:sz w:val="28"/>
          <w:szCs w:val="28"/>
        </w:rPr>
        <w:t>"</w:t>
      </w:r>
      <w:r w:rsidRPr="009068D8">
        <w:rPr>
          <w:sz w:val="28"/>
          <w:szCs w:val="28"/>
        </w:rPr>
        <w:t>Каскад</w:t>
      </w:r>
      <w:r w:rsidR="00D24A0C">
        <w:rPr>
          <w:sz w:val="28"/>
          <w:szCs w:val="28"/>
        </w:rPr>
        <w:t>"</w:t>
      </w:r>
      <w:r w:rsidRPr="009068D8">
        <w:rPr>
          <w:sz w:val="28"/>
          <w:szCs w:val="28"/>
        </w:rPr>
        <w:t xml:space="preserve"> (11 груп на 200 місць).</w:t>
      </w:r>
    </w:p>
    <w:p w:rsidR="007B5FC8" w:rsidRPr="00AF62F2" w:rsidRDefault="007B5FC8" w:rsidP="007B5FC8">
      <w:pPr>
        <w:pStyle w:val="a7"/>
        <w:spacing w:after="0"/>
        <w:ind w:left="0" w:firstLine="709"/>
        <w:jc w:val="both"/>
        <w:outlineLvl w:val="0"/>
        <w:rPr>
          <w:sz w:val="28"/>
          <w:szCs w:val="28"/>
          <w:lang w:val="uk-UA"/>
        </w:rPr>
      </w:pPr>
      <w:r w:rsidRPr="00AF62F2">
        <w:rPr>
          <w:sz w:val="28"/>
          <w:szCs w:val="28"/>
          <w:lang w:val="uk-UA"/>
        </w:rPr>
        <w:t>Продовжуються роботи з покращення стану дошкільних закладів, зокрема:</w:t>
      </w:r>
    </w:p>
    <w:p w:rsidR="0004503D" w:rsidRPr="0004503D" w:rsidRDefault="0004503D" w:rsidP="007B5FC8">
      <w:pPr>
        <w:numPr>
          <w:ilvl w:val="0"/>
          <w:numId w:val="16"/>
        </w:numPr>
        <w:tabs>
          <w:tab w:val="clear" w:pos="1428"/>
          <w:tab w:val="num" w:pos="142"/>
        </w:tabs>
        <w:ind w:left="0" w:firstLine="567"/>
        <w:jc w:val="both"/>
        <w:outlineLvl w:val="0"/>
        <w:rPr>
          <w:lang w:val="uk-UA"/>
        </w:rPr>
      </w:pPr>
      <w:r w:rsidRPr="0004503D">
        <w:rPr>
          <w:lang w:val="uk-UA"/>
        </w:rPr>
        <w:t>в</w:t>
      </w:r>
      <w:r w:rsidRPr="0004503D">
        <w:t xml:space="preserve">едуться роботи з реконструкції приміщення ДНЗ №21 </w:t>
      </w:r>
      <w:r>
        <w:rPr>
          <w:lang w:val="uk-UA"/>
        </w:rPr>
        <w:t>"</w:t>
      </w:r>
      <w:r w:rsidRPr="0004503D">
        <w:t>Подоляночка</w:t>
      </w:r>
      <w:r>
        <w:rPr>
          <w:lang w:val="uk-UA"/>
        </w:rPr>
        <w:t>"</w:t>
      </w:r>
      <w:r w:rsidRPr="0004503D">
        <w:t xml:space="preserve"> </w:t>
      </w:r>
      <w:r>
        <w:rPr>
          <w:lang w:val="uk-UA"/>
        </w:rPr>
        <w:t>(</w:t>
      </w:r>
      <w:r w:rsidRPr="0004503D">
        <w:t>вул. Г.Хоткевича, 11 А</w:t>
      </w:r>
      <w:r>
        <w:rPr>
          <w:lang w:val="uk-UA"/>
        </w:rPr>
        <w:t>)</w:t>
      </w:r>
      <w:r w:rsidRPr="0004503D">
        <w:rPr>
          <w:lang w:val="uk-UA"/>
        </w:rPr>
        <w:t xml:space="preserve">; </w:t>
      </w:r>
    </w:p>
    <w:p w:rsidR="0004503D" w:rsidRDefault="0004503D" w:rsidP="0004503D">
      <w:pPr>
        <w:pStyle w:val="a7"/>
        <w:tabs>
          <w:tab w:val="left" w:pos="567"/>
          <w:tab w:val="left" w:pos="1134"/>
        </w:tabs>
        <w:spacing w:after="0"/>
        <w:ind w:left="0"/>
        <w:jc w:val="both"/>
        <w:outlineLvl w:val="0"/>
        <w:rPr>
          <w:sz w:val="28"/>
          <w:szCs w:val="28"/>
          <w:lang w:val="uk-UA"/>
        </w:rPr>
      </w:pPr>
      <w:r>
        <w:rPr>
          <w:sz w:val="28"/>
          <w:szCs w:val="28"/>
          <w:lang w:val="uk-UA"/>
        </w:rPr>
        <w:tab/>
        <w:t xml:space="preserve">- </w:t>
      </w:r>
      <w:r w:rsidRPr="0004503D">
        <w:rPr>
          <w:sz w:val="28"/>
          <w:szCs w:val="28"/>
          <w:lang w:val="uk-UA"/>
        </w:rPr>
        <w:t>р</w:t>
      </w:r>
      <w:r w:rsidRPr="0004503D">
        <w:rPr>
          <w:sz w:val="28"/>
          <w:szCs w:val="28"/>
        </w:rPr>
        <w:t>озробляється про</w:t>
      </w:r>
      <w:r w:rsidR="00E144E7">
        <w:rPr>
          <w:sz w:val="28"/>
          <w:szCs w:val="28"/>
          <w:lang w:val="uk-UA"/>
        </w:rPr>
        <w:t>є</w:t>
      </w:r>
      <w:r w:rsidRPr="0004503D">
        <w:rPr>
          <w:sz w:val="28"/>
          <w:szCs w:val="28"/>
        </w:rPr>
        <w:t>ктно-кошторисна документація на реконструкцію закладу дошкільної освіти на вул. С.Бандери 10 А</w:t>
      </w:r>
      <w:r>
        <w:rPr>
          <w:sz w:val="28"/>
          <w:szCs w:val="28"/>
          <w:lang w:val="uk-UA"/>
        </w:rPr>
        <w:t>;</w:t>
      </w:r>
    </w:p>
    <w:p w:rsidR="0004503D" w:rsidRDefault="0004503D" w:rsidP="0004503D">
      <w:pPr>
        <w:pStyle w:val="a7"/>
        <w:tabs>
          <w:tab w:val="left" w:pos="567"/>
          <w:tab w:val="left" w:pos="1134"/>
        </w:tabs>
        <w:spacing w:after="0"/>
        <w:ind w:left="0"/>
        <w:jc w:val="both"/>
        <w:outlineLvl w:val="0"/>
        <w:rPr>
          <w:sz w:val="28"/>
          <w:szCs w:val="28"/>
          <w:lang w:val="uk-UA"/>
        </w:rPr>
      </w:pPr>
      <w:r w:rsidRPr="0004503D">
        <w:rPr>
          <w:sz w:val="28"/>
          <w:szCs w:val="28"/>
          <w:lang w:val="uk-UA"/>
        </w:rPr>
        <w:tab/>
        <w:t xml:space="preserve">- розпочато </w:t>
      </w:r>
      <w:r w:rsidRPr="0004503D">
        <w:rPr>
          <w:sz w:val="28"/>
          <w:szCs w:val="28"/>
        </w:rPr>
        <w:t>будівництво закладу дошкільно</w:t>
      </w:r>
      <w:r>
        <w:rPr>
          <w:sz w:val="28"/>
          <w:szCs w:val="28"/>
        </w:rPr>
        <w:t xml:space="preserve">ї освіти в мікрорайоні </w:t>
      </w:r>
      <w:r>
        <w:rPr>
          <w:sz w:val="28"/>
          <w:szCs w:val="28"/>
          <w:lang w:val="uk-UA"/>
        </w:rPr>
        <w:t>"</w:t>
      </w:r>
      <w:r>
        <w:rPr>
          <w:sz w:val="28"/>
          <w:szCs w:val="28"/>
        </w:rPr>
        <w:t>Каскад</w:t>
      </w:r>
      <w:r>
        <w:rPr>
          <w:sz w:val="28"/>
          <w:szCs w:val="28"/>
          <w:lang w:val="uk-UA"/>
        </w:rPr>
        <w:t>";</w:t>
      </w:r>
    </w:p>
    <w:p w:rsidR="0004503D" w:rsidRPr="004D329F" w:rsidRDefault="0004503D" w:rsidP="0004503D">
      <w:pPr>
        <w:pStyle w:val="a7"/>
        <w:tabs>
          <w:tab w:val="left" w:pos="567"/>
          <w:tab w:val="left" w:pos="1134"/>
        </w:tabs>
        <w:spacing w:after="0"/>
        <w:ind w:left="0"/>
        <w:jc w:val="both"/>
        <w:outlineLvl w:val="0"/>
        <w:rPr>
          <w:sz w:val="28"/>
          <w:szCs w:val="28"/>
          <w:lang w:val="uk-UA"/>
        </w:rPr>
      </w:pPr>
      <w:r w:rsidRPr="004D329F">
        <w:rPr>
          <w:sz w:val="28"/>
          <w:szCs w:val="28"/>
          <w:lang w:val="uk-UA"/>
        </w:rPr>
        <w:tab/>
        <w:t xml:space="preserve">- проведено капітальний ремонт приміщень </w:t>
      </w:r>
      <w:r w:rsidRPr="004D329F">
        <w:rPr>
          <w:sz w:val="28"/>
          <w:szCs w:val="28"/>
        </w:rPr>
        <w:t xml:space="preserve">ДНЗ №7, ДНЗ №9, </w:t>
      </w:r>
      <w:r w:rsidR="00FE246A" w:rsidRPr="004D329F">
        <w:rPr>
          <w:sz w:val="28"/>
          <w:szCs w:val="28"/>
        </w:rPr>
        <w:t>ДНЗ №27</w:t>
      </w:r>
      <w:r w:rsidR="00FE246A" w:rsidRPr="004D329F">
        <w:rPr>
          <w:sz w:val="28"/>
          <w:szCs w:val="28"/>
          <w:lang w:val="uk-UA"/>
        </w:rPr>
        <w:t xml:space="preserve">, </w:t>
      </w:r>
      <w:r w:rsidRPr="004D329F">
        <w:rPr>
          <w:sz w:val="28"/>
          <w:szCs w:val="28"/>
        </w:rPr>
        <w:t>ДНЗ №11, ДНЗ №15</w:t>
      </w:r>
      <w:r w:rsidRPr="004D329F">
        <w:rPr>
          <w:sz w:val="28"/>
          <w:szCs w:val="28"/>
          <w:lang w:val="uk-UA"/>
        </w:rPr>
        <w:t xml:space="preserve"> та </w:t>
      </w:r>
      <w:r w:rsidRPr="004D329F">
        <w:rPr>
          <w:sz w:val="28"/>
          <w:szCs w:val="28"/>
        </w:rPr>
        <w:t>ДНЗ №16</w:t>
      </w:r>
      <w:r w:rsidR="00FE246A" w:rsidRPr="004D329F">
        <w:rPr>
          <w:sz w:val="28"/>
          <w:szCs w:val="28"/>
          <w:lang w:val="uk-UA"/>
        </w:rPr>
        <w:t>;</w:t>
      </w:r>
    </w:p>
    <w:p w:rsidR="0004503D" w:rsidRPr="00FE246A" w:rsidRDefault="00FE246A" w:rsidP="0004503D">
      <w:pPr>
        <w:pStyle w:val="a7"/>
        <w:tabs>
          <w:tab w:val="left" w:pos="567"/>
          <w:tab w:val="left" w:pos="1134"/>
        </w:tabs>
        <w:spacing w:after="0"/>
        <w:ind w:left="0"/>
        <w:jc w:val="both"/>
        <w:outlineLvl w:val="0"/>
        <w:rPr>
          <w:sz w:val="28"/>
          <w:szCs w:val="28"/>
          <w:lang w:val="uk-UA"/>
        </w:rPr>
      </w:pPr>
      <w:r>
        <w:rPr>
          <w:sz w:val="28"/>
          <w:szCs w:val="28"/>
          <w:lang w:val="uk-UA"/>
        </w:rPr>
        <w:tab/>
        <w:t xml:space="preserve">- </w:t>
      </w:r>
      <w:r w:rsidRPr="00FE246A">
        <w:rPr>
          <w:sz w:val="28"/>
          <w:szCs w:val="28"/>
          <w:lang w:val="uk-UA"/>
        </w:rPr>
        <w:t>проведено к</w:t>
      </w:r>
      <w:r w:rsidRPr="00FE246A">
        <w:rPr>
          <w:sz w:val="28"/>
          <w:szCs w:val="28"/>
        </w:rPr>
        <w:t>апітальний ремонт благоустрою території</w:t>
      </w:r>
      <w:r w:rsidRPr="00FE246A">
        <w:rPr>
          <w:sz w:val="28"/>
          <w:szCs w:val="28"/>
          <w:lang w:val="uk-UA"/>
        </w:rPr>
        <w:t xml:space="preserve"> </w:t>
      </w:r>
      <w:r w:rsidRPr="00FE246A">
        <w:rPr>
          <w:sz w:val="28"/>
          <w:szCs w:val="28"/>
        </w:rPr>
        <w:t>ДНЗ №1</w:t>
      </w:r>
      <w:r w:rsidRPr="00FE246A">
        <w:rPr>
          <w:sz w:val="28"/>
          <w:szCs w:val="28"/>
          <w:lang w:val="uk-UA"/>
        </w:rPr>
        <w:t xml:space="preserve"> та</w:t>
      </w:r>
      <w:r w:rsidRPr="00FE246A">
        <w:rPr>
          <w:sz w:val="28"/>
          <w:szCs w:val="28"/>
        </w:rPr>
        <w:t xml:space="preserve"> ДНЗ №28</w:t>
      </w:r>
      <w:r w:rsidRPr="00FE246A">
        <w:rPr>
          <w:sz w:val="28"/>
          <w:szCs w:val="28"/>
          <w:lang w:val="uk-UA"/>
        </w:rPr>
        <w:t xml:space="preserve">; </w:t>
      </w:r>
    </w:p>
    <w:p w:rsidR="0004503D" w:rsidRDefault="00FE246A" w:rsidP="007B5FC8">
      <w:pPr>
        <w:numPr>
          <w:ilvl w:val="0"/>
          <w:numId w:val="16"/>
        </w:numPr>
        <w:tabs>
          <w:tab w:val="clear" w:pos="1428"/>
          <w:tab w:val="num" w:pos="142"/>
        </w:tabs>
        <w:ind w:left="0" w:firstLine="567"/>
        <w:jc w:val="both"/>
        <w:outlineLvl w:val="0"/>
        <w:rPr>
          <w:lang w:val="uk-UA"/>
        </w:rPr>
      </w:pPr>
      <w:r>
        <w:rPr>
          <w:lang w:val="uk-UA"/>
        </w:rPr>
        <w:t>завершено роботи з к</w:t>
      </w:r>
      <w:r>
        <w:t>апітальн</w:t>
      </w:r>
      <w:r>
        <w:rPr>
          <w:lang w:val="uk-UA"/>
        </w:rPr>
        <w:t>ого</w:t>
      </w:r>
      <w:r>
        <w:t xml:space="preserve"> ремонт</w:t>
      </w:r>
      <w:r>
        <w:rPr>
          <w:lang w:val="uk-UA"/>
        </w:rPr>
        <w:t>у</w:t>
      </w:r>
      <w:r>
        <w:t xml:space="preserve"> систем опалення та водопостачання</w:t>
      </w:r>
      <w:r>
        <w:rPr>
          <w:lang w:val="uk-UA"/>
        </w:rPr>
        <w:t xml:space="preserve"> у </w:t>
      </w:r>
      <w:r>
        <w:t>ДНЗ №2,</w:t>
      </w:r>
      <w:r w:rsidRPr="00FE246A">
        <w:t xml:space="preserve"> </w:t>
      </w:r>
      <w:r>
        <w:t>ДНЗ №10</w:t>
      </w:r>
      <w:r>
        <w:rPr>
          <w:lang w:val="uk-UA"/>
        </w:rPr>
        <w:t xml:space="preserve">, </w:t>
      </w:r>
      <w:r>
        <w:t>ДНЗ №5</w:t>
      </w:r>
      <w:r>
        <w:rPr>
          <w:lang w:val="uk-UA"/>
        </w:rPr>
        <w:t xml:space="preserve"> та </w:t>
      </w:r>
      <w:r>
        <w:t>ДНЗ №14</w:t>
      </w:r>
      <w:r>
        <w:rPr>
          <w:lang w:val="uk-UA"/>
        </w:rPr>
        <w:t>;</w:t>
      </w:r>
    </w:p>
    <w:p w:rsidR="004D329F" w:rsidRPr="004D329F" w:rsidRDefault="004D329F" w:rsidP="007B5FC8">
      <w:pPr>
        <w:numPr>
          <w:ilvl w:val="0"/>
          <w:numId w:val="16"/>
        </w:numPr>
        <w:tabs>
          <w:tab w:val="clear" w:pos="1428"/>
          <w:tab w:val="num" w:pos="142"/>
        </w:tabs>
        <w:ind w:left="0" w:firstLine="567"/>
        <w:jc w:val="both"/>
        <w:outlineLvl w:val="0"/>
        <w:rPr>
          <w:lang w:val="uk-UA"/>
        </w:rPr>
      </w:pPr>
      <w:r w:rsidRPr="004D329F">
        <w:rPr>
          <w:lang w:val="uk-UA"/>
        </w:rPr>
        <w:t xml:space="preserve"> проведено к</w:t>
      </w:r>
      <w:r w:rsidRPr="004D329F">
        <w:t>апітальний ремонт харчоблоків: ДНЗ №20</w:t>
      </w:r>
      <w:r w:rsidRPr="004D329F">
        <w:rPr>
          <w:lang w:val="uk-UA"/>
        </w:rPr>
        <w:t xml:space="preserve"> та </w:t>
      </w:r>
      <w:r w:rsidRPr="004D329F">
        <w:t xml:space="preserve"> ДНЗ №12</w:t>
      </w:r>
      <w:r w:rsidRPr="004D329F">
        <w:rPr>
          <w:lang w:val="uk-UA"/>
        </w:rPr>
        <w:t>;</w:t>
      </w:r>
      <w:r w:rsidRPr="004D329F">
        <w:t xml:space="preserve"> </w:t>
      </w:r>
    </w:p>
    <w:p w:rsidR="004D329F" w:rsidRPr="004D329F" w:rsidRDefault="004D329F" w:rsidP="007B5FC8">
      <w:pPr>
        <w:numPr>
          <w:ilvl w:val="0"/>
          <w:numId w:val="16"/>
        </w:numPr>
        <w:tabs>
          <w:tab w:val="clear" w:pos="1428"/>
          <w:tab w:val="num" w:pos="142"/>
        </w:tabs>
        <w:ind w:left="0" w:firstLine="567"/>
        <w:jc w:val="both"/>
        <w:outlineLvl w:val="0"/>
        <w:rPr>
          <w:lang w:val="uk-UA"/>
        </w:rPr>
      </w:pPr>
      <w:r w:rsidRPr="004D329F">
        <w:rPr>
          <w:lang w:val="uk-UA"/>
        </w:rPr>
        <w:t xml:space="preserve"> </w:t>
      </w:r>
      <w:r>
        <w:rPr>
          <w:lang w:val="uk-UA"/>
        </w:rPr>
        <w:t>з</w:t>
      </w:r>
      <w:r w:rsidRPr="004D329F">
        <w:rPr>
          <w:lang w:val="uk-UA"/>
        </w:rPr>
        <w:t>авершено к</w:t>
      </w:r>
      <w:r w:rsidRPr="004D329F">
        <w:t>апітальний ремонт даху та фасаду</w:t>
      </w:r>
      <w:r w:rsidRPr="004D329F">
        <w:rPr>
          <w:lang w:val="uk-UA"/>
        </w:rPr>
        <w:t xml:space="preserve"> в</w:t>
      </w:r>
      <w:r w:rsidRPr="004D329F">
        <w:t xml:space="preserve"> ДНЗ №17</w:t>
      </w:r>
      <w:r w:rsidRPr="004D329F">
        <w:rPr>
          <w:lang w:val="uk-UA"/>
        </w:rPr>
        <w:t>.</w:t>
      </w:r>
    </w:p>
    <w:p w:rsidR="007B5FC8" w:rsidRPr="009068D8" w:rsidRDefault="007B5FC8" w:rsidP="00E144E7">
      <w:pPr>
        <w:pStyle w:val="a7"/>
        <w:spacing w:before="240" w:after="0"/>
        <w:ind w:left="0" w:firstLine="567"/>
        <w:jc w:val="both"/>
        <w:outlineLvl w:val="0"/>
        <w:rPr>
          <w:sz w:val="28"/>
          <w:szCs w:val="28"/>
          <w:lang w:val="uk-UA"/>
        </w:rPr>
      </w:pPr>
      <w:r w:rsidRPr="009068D8">
        <w:rPr>
          <w:sz w:val="28"/>
          <w:szCs w:val="28"/>
          <w:lang w:val="uk-UA"/>
        </w:rPr>
        <w:t>Загальна середня освіта:</w:t>
      </w:r>
    </w:p>
    <w:p w:rsidR="009068D8" w:rsidRDefault="009068D8" w:rsidP="007B5FC8">
      <w:pPr>
        <w:pStyle w:val="a7"/>
        <w:tabs>
          <w:tab w:val="left" w:pos="851"/>
        </w:tabs>
        <w:spacing w:after="0"/>
        <w:ind w:left="0" w:firstLine="567"/>
        <w:jc w:val="both"/>
        <w:outlineLvl w:val="0"/>
        <w:rPr>
          <w:sz w:val="28"/>
          <w:szCs w:val="28"/>
          <w:highlight w:val="yellow"/>
          <w:lang w:val="uk-UA"/>
        </w:rPr>
      </w:pPr>
      <w:r w:rsidRPr="009068D8">
        <w:rPr>
          <w:sz w:val="28"/>
          <w:szCs w:val="28"/>
        </w:rPr>
        <w:t>У 2019-2020 навчальному році в місті Івано-Франківську функціонує 42 заклади загальної середньої освіти, у 1091-ому класі навчається 29 524 учні. У тому числі: 4 приватні школи (42 класи, 745 учнів), НРЦ для дітей з особливими потребами (20 класів, 142 учні), 3 спеціалізовані школи з поглибленим вивченням іноземних мов (108 класів, 3 452 учні), гімназія, природничо-математичний ліцей, ліцей №23 ім.Р.Гурика, ліцей ім.В.Чорновола, ліцей ім.Р.Шухевича, школа-гімназія №3, школа-садок №3 та 3 школи І ступеня.</w:t>
      </w:r>
      <w:r w:rsidRPr="009068D8">
        <w:rPr>
          <w:sz w:val="28"/>
          <w:szCs w:val="28"/>
          <w:highlight w:val="yellow"/>
          <w:lang w:val="uk-UA"/>
        </w:rPr>
        <w:t xml:space="preserve"> </w:t>
      </w:r>
    </w:p>
    <w:p w:rsidR="009068D8" w:rsidRDefault="009068D8" w:rsidP="007B5FC8">
      <w:pPr>
        <w:pStyle w:val="a7"/>
        <w:tabs>
          <w:tab w:val="left" w:pos="851"/>
        </w:tabs>
        <w:spacing w:after="0"/>
        <w:ind w:left="0" w:firstLine="567"/>
        <w:jc w:val="both"/>
        <w:outlineLvl w:val="0"/>
        <w:rPr>
          <w:sz w:val="28"/>
          <w:szCs w:val="28"/>
          <w:lang w:val="uk-UA"/>
        </w:rPr>
      </w:pPr>
      <w:r w:rsidRPr="009068D8">
        <w:rPr>
          <w:sz w:val="28"/>
          <w:szCs w:val="28"/>
        </w:rPr>
        <w:t>У порівнянні з попереднім навчальним роком фактична мережа закладів загальної середньої освіти зросла на 49 класів (1479 учнів). На 20 класів (492 учні) зросла мережа учнів 1-4-х класів, темп зростання становить 8%. Кількість учнів початкової школи сягнула 12 947 учнів, що є найвищим показником за останні 20 років. З 2001 року це найбільша кількість першокласників у місті. У перших класах навчається 3 413 учнів.</w:t>
      </w:r>
    </w:p>
    <w:p w:rsidR="009068D8" w:rsidRPr="00963DC2" w:rsidRDefault="009068D8" w:rsidP="007B5FC8">
      <w:pPr>
        <w:pStyle w:val="a7"/>
        <w:tabs>
          <w:tab w:val="left" w:pos="851"/>
        </w:tabs>
        <w:spacing w:after="0"/>
        <w:ind w:left="0" w:firstLine="567"/>
        <w:jc w:val="both"/>
        <w:outlineLvl w:val="0"/>
        <w:rPr>
          <w:sz w:val="28"/>
          <w:szCs w:val="28"/>
          <w:lang w:val="uk-UA"/>
        </w:rPr>
      </w:pPr>
      <w:r w:rsidRPr="00963DC2">
        <w:rPr>
          <w:sz w:val="28"/>
          <w:szCs w:val="28"/>
        </w:rPr>
        <w:t>Збільшилась кількість закладів загальної середньої освіти, у яких організовано двозмінне навчання. У 2019-2020 навчальному році навчання у дві зміни було запроваджено на базі 13 закладів, до цього переліку долучилася ЗШ №4, 24, Крихівецька ЗШ. У зв’язку із завершенням будівництва корпусу Хриплинської ЗШ у закладі запроваджено однозмінне навчання.</w:t>
      </w:r>
    </w:p>
    <w:p w:rsidR="00963DC2" w:rsidRDefault="00963DC2" w:rsidP="007B5FC8">
      <w:pPr>
        <w:pStyle w:val="a7"/>
        <w:tabs>
          <w:tab w:val="left" w:pos="851"/>
        </w:tabs>
        <w:spacing w:after="0"/>
        <w:ind w:left="0" w:firstLine="567"/>
        <w:jc w:val="both"/>
        <w:outlineLvl w:val="0"/>
        <w:rPr>
          <w:sz w:val="28"/>
          <w:szCs w:val="28"/>
          <w:lang w:val="uk-UA"/>
        </w:rPr>
      </w:pPr>
      <w:r w:rsidRPr="00963DC2">
        <w:rPr>
          <w:sz w:val="28"/>
          <w:szCs w:val="28"/>
        </w:rPr>
        <w:t xml:space="preserve">У місті Івано-Франківську функціонує Навчально-реабілітаційний центр, в якому навчається 142 дитини, половина з яких мають змогу навчатися за </w:t>
      </w:r>
      <w:r w:rsidRPr="00963DC2">
        <w:rPr>
          <w:sz w:val="28"/>
          <w:szCs w:val="28"/>
        </w:rPr>
        <w:lastRenderedPageBreak/>
        <w:t xml:space="preserve">освітніми програмами закладів загальної середньої освіти та отримувати документ про освіту. </w:t>
      </w:r>
    </w:p>
    <w:p w:rsidR="009068D8" w:rsidRPr="00963DC2" w:rsidRDefault="00963DC2" w:rsidP="007B5FC8">
      <w:pPr>
        <w:pStyle w:val="a7"/>
        <w:tabs>
          <w:tab w:val="left" w:pos="851"/>
        </w:tabs>
        <w:spacing w:after="0"/>
        <w:ind w:left="0" w:firstLine="567"/>
        <w:jc w:val="both"/>
        <w:outlineLvl w:val="0"/>
        <w:rPr>
          <w:sz w:val="28"/>
          <w:szCs w:val="28"/>
          <w:lang w:val="uk-UA"/>
        </w:rPr>
      </w:pPr>
      <w:r w:rsidRPr="00963DC2">
        <w:rPr>
          <w:sz w:val="28"/>
          <w:szCs w:val="28"/>
        </w:rPr>
        <w:t>У 2019-2020 н.р. відкрито інклюзивні класи для 120-ти дітей із особливими освітніми потребами та введено 104 ставки асистента вчителя. Крім того, у 2019-2020 н.р. відкрито 6 інклюзивних груп подовженого дня для 7- ми дітей з особливими освітніми потребами та введено 6 ставок асистента вихователя ГПД.</w:t>
      </w:r>
    </w:p>
    <w:p w:rsidR="009068D8" w:rsidRPr="00963DC2" w:rsidRDefault="00963DC2" w:rsidP="007B5FC8">
      <w:pPr>
        <w:pStyle w:val="a7"/>
        <w:tabs>
          <w:tab w:val="left" w:pos="851"/>
        </w:tabs>
        <w:spacing w:after="0"/>
        <w:ind w:left="0" w:firstLine="567"/>
        <w:jc w:val="both"/>
        <w:outlineLvl w:val="0"/>
        <w:rPr>
          <w:sz w:val="28"/>
          <w:szCs w:val="28"/>
          <w:lang w:val="uk-UA"/>
        </w:rPr>
      </w:pPr>
      <w:r w:rsidRPr="00963DC2">
        <w:rPr>
          <w:sz w:val="28"/>
          <w:szCs w:val="28"/>
        </w:rPr>
        <w:t>Здійснено реєстрацію учнів щодо запровадження іменних електронних карток для безкоштовного проїзду у комунальному електротранспорті. Ці електронні картки можна буде використати для пільгового харчування учнів, доступу до бібліотек чи спортивних закладів міста.</w:t>
      </w:r>
    </w:p>
    <w:p w:rsidR="009068D8" w:rsidRPr="00963DC2" w:rsidRDefault="00963DC2" w:rsidP="007B5FC8">
      <w:pPr>
        <w:pStyle w:val="a7"/>
        <w:tabs>
          <w:tab w:val="left" w:pos="851"/>
        </w:tabs>
        <w:spacing w:after="0"/>
        <w:ind w:left="0" w:firstLine="567"/>
        <w:jc w:val="both"/>
        <w:outlineLvl w:val="0"/>
        <w:rPr>
          <w:sz w:val="28"/>
          <w:szCs w:val="28"/>
          <w:lang w:val="uk-UA"/>
        </w:rPr>
      </w:pPr>
      <w:r w:rsidRPr="00963DC2">
        <w:rPr>
          <w:sz w:val="28"/>
          <w:szCs w:val="28"/>
        </w:rPr>
        <w:t>Івано-Франківськ пишається здобутими перемогами у ІV етапі Всеукраїнських учнівських олімпіад: 25 учнів стали переможцями, повторивши минулорічний успіх. В активі наших олімпійців 6 дипломів І ступеня, 8 – ІІ ступеня та 11 – ІІІ ступеня. Найкращі результати у ІV етапі показали учні ПМЛ, УГ № 1, СШ № 11 та СШ № 5.</w:t>
      </w:r>
    </w:p>
    <w:p w:rsidR="007B5FC8" w:rsidRPr="0004503D" w:rsidRDefault="007B5FC8" w:rsidP="007B5FC8">
      <w:pPr>
        <w:pStyle w:val="a7"/>
        <w:tabs>
          <w:tab w:val="left" w:pos="851"/>
          <w:tab w:val="left" w:pos="1134"/>
        </w:tabs>
        <w:spacing w:after="0"/>
        <w:ind w:left="0" w:firstLine="709"/>
        <w:jc w:val="both"/>
        <w:outlineLvl w:val="0"/>
        <w:rPr>
          <w:sz w:val="28"/>
          <w:szCs w:val="28"/>
          <w:lang w:val="uk-UA"/>
        </w:rPr>
      </w:pPr>
      <w:r w:rsidRPr="0004503D">
        <w:rPr>
          <w:sz w:val="28"/>
          <w:szCs w:val="28"/>
          <w:lang w:val="uk-UA"/>
        </w:rPr>
        <w:t>Велика увага приділялась покращенню матеріально-технічного стану закладів освіти, а саме:</w:t>
      </w:r>
    </w:p>
    <w:p w:rsidR="0004503D" w:rsidRDefault="0004503D" w:rsidP="007B5FC8">
      <w:pPr>
        <w:pStyle w:val="a7"/>
        <w:tabs>
          <w:tab w:val="left" w:pos="851"/>
          <w:tab w:val="left" w:pos="1134"/>
        </w:tabs>
        <w:spacing w:after="0"/>
        <w:ind w:left="0" w:firstLine="709"/>
        <w:jc w:val="both"/>
        <w:outlineLvl w:val="0"/>
        <w:rPr>
          <w:sz w:val="28"/>
          <w:szCs w:val="28"/>
          <w:lang w:val="uk-UA"/>
        </w:rPr>
      </w:pPr>
      <w:r>
        <w:rPr>
          <w:lang w:val="uk-UA"/>
        </w:rPr>
        <w:t xml:space="preserve">-  </w:t>
      </w:r>
      <w:r w:rsidRPr="0004503D">
        <w:rPr>
          <w:sz w:val="28"/>
          <w:szCs w:val="28"/>
        </w:rPr>
        <w:t xml:space="preserve">завершено добудову корпусу Хриплинської загальноосвітньої школи І-ІІ ступенів в с. Хриплин Івано-Франківської міської ради, загальною площею 2837,8 кв.м. </w:t>
      </w:r>
      <w:r>
        <w:rPr>
          <w:sz w:val="28"/>
          <w:szCs w:val="28"/>
        </w:rPr>
        <w:t>Проектна потужність – 125 учнів</w:t>
      </w:r>
      <w:r>
        <w:rPr>
          <w:sz w:val="28"/>
          <w:szCs w:val="28"/>
          <w:lang w:val="uk-UA"/>
        </w:rPr>
        <w:t>;</w:t>
      </w:r>
    </w:p>
    <w:p w:rsidR="00B17493" w:rsidRDefault="0004503D" w:rsidP="007B5FC8">
      <w:pPr>
        <w:pStyle w:val="a7"/>
        <w:tabs>
          <w:tab w:val="left" w:pos="851"/>
          <w:tab w:val="left" w:pos="1134"/>
        </w:tabs>
        <w:spacing w:after="0"/>
        <w:ind w:left="0" w:firstLine="709"/>
        <w:jc w:val="both"/>
        <w:outlineLvl w:val="0"/>
        <w:rPr>
          <w:sz w:val="28"/>
          <w:szCs w:val="28"/>
          <w:lang w:val="uk-UA"/>
        </w:rPr>
      </w:pPr>
      <w:r w:rsidRPr="00B17493">
        <w:rPr>
          <w:sz w:val="28"/>
          <w:szCs w:val="28"/>
          <w:lang w:val="uk-UA"/>
        </w:rPr>
        <w:t xml:space="preserve">- </w:t>
      </w:r>
      <w:r w:rsidR="00B17493" w:rsidRPr="00B17493">
        <w:rPr>
          <w:sz w:val="28"/>
          <w:szCs w:val="28"/>
          <w:lang w:val="uk-UA"/>
        </w:rPr>
        <w:t xml:space="preserve">завершено </w:t>
      </w:r>
      <w:r w:rsidR="00B17493" w:rsidRPr="00B17493">
        <w:rPr>
          <w:sz w:val="28"/>
          <w:szCs w:val="28"/>
        </w:rPr>
        <w:t>капітальн</w:t>
      </w:r>
      <w:r w:rsidR="00B17493" w:rsidRPr="00B17493">
        <w:rPr>
          <w:sz w:val="28"/>
          <w:szCs w:val="28"/>
          <w:lang w:val="uk-UA"/>
        </w:rPr>
        <w:t>ий</w:t>
      </w:r>
      <w:r w:rsidR="00B17493" w:rsidRPr="00B17493">
        <w:rPr>
          <w:sz w:val="28"/>
          <w:szCs w:val="28"/>
        </w:rPr>
        <w:t xml:space="preserve"> ремонт спортивного майданчика із синтетичним покриттям на території ЗШ №18</w:t>
      </w:r>
      <w:r w:rsidR="00B17493">
        <w:rPr>
          <w:sz w:val="28"/>
          <w:szCs w:val="28"/>
          <w:lang w:val="uk-UA"/>
        </w:rPr>
        <w:t>;</w:t>
      </w:r>
    </w:p>
    <w:p w:rsidR="0004503D" w:rsidRPr="0004503D" w:rsidRDefault="0004503D" w:rsidP="007B5FC8">
      <w:pPr>
        <w:pStyle w:val="a7"/>
        <w:tabs>
          <w:tab w:val="left" w:pos="851"/>
          <w:tab w:val="left" w:pos="1134"/>
        </w:tabs>
        <w:spacing w:after="0"/>
        <w:ind w:left="0" w:firstLine="709"/>
        <w:jc w:val="both"/>
        <w:outlineLvl w:val="0"/>
        <w:rPr>
          <w:sz w:val="28"/>
          <w:szCs w:val="28"/>
          <w:lang w:val="uk-UA"/>
        </w:rPr>
      </w:pPr>
      <w:r w:rsidRPr="0004503D">
        <w:rPr>
          <w:sz w:val="28"/>
          <w:szCs w:val="28"/>
          <w:lang w:val="uk-UA"/>
        </w:rPr>
        <w:t>- р</w:t>
      </w:r>
      <w:r w:rsidRPr="0004503D">
        <w:rPr>
          <w:sz w:val="28"/>
          <w:szCs w:val="28"/>
        </w:rPr>
        <w:t>озпочато добудову Крихівецької загальноосвітньої школи</w:t>
      </w:r>
      <w:r w:rsidRPr="0004503D">
        <w:rPr>
          <w:sz w:val="28"/>
          <w:szCs w:val="28"/>
          <w:lang w:val="uk-UA"/>
        </w:rPr>
        <w:t>;</w:t>
      </w:r>
    </w:p>
    <w:p w:rsidR="0004503D" w:rsidRDefault="0004503D" w:rsidP="007B5FC8">
      <w:pPr>
        <w:pStyle w:val="a7"/>
        <w:tabs>
          <w:tab w:val="left" w:pos="851"/>
          <w:tab w:val="left" w:pos="1134"/>
        </w:tabs>
        <w:spacing w:after="0"/>
        <w:ind w:left="0" w:firstLine="709"/>
        <w:jc w:val="both"/>
        <w:outlineLvl w:val="0"/>
        <w:rPr>
          <w:sz w:val="28"/>
          <w:szCs w:val="28"/>
          <w:lang w:val="uk-UA"/>
        </w:rPr>
      </w:pPr>
      <w:r w:rsidRPr="0004503D">
        <w:rPr>
          <w:sz w:val="28"/>
          <w:szCs w:val="28"/>
        </w:rPr>
        <w:t xml:space="preserve"> </w:t>
      </w:r>
      <w:r w:rsidRPr="0004503D">
        <w:rPr>
          <w:sz w:val="28"/>
          <w:szCs w:val="28"/>
          <w:lang w:val="uk-UA"/>
        </w:rPr>
        <w:t xml:space="preserve">- розпочато </w:t>
      </w:r>
      <w:r w:rsidRPr="0004503D">
        <w:rPr>
          <w:sz w:val="28"/>
          <w:szCs w:val="28"/>
        </w:rPr>
        <w:t>будівництво навчально-виховного комплексу Івано-Франківської загальноосвітньої школи І-ІІІ ступен</w:t>
      </w:r>
      <w:r>
        <w:rPr>
          <w:sz w:val="28"/>
          <w:szCs w:val="28"/>
        </w:rPr>
        <w:t xml:space="preserve">ів №6 в мікрорайоні </w:t>
      </w:r>
      <w:r w:rsidR="00D24A0C">
        <w:rPr>
          <w:sz w:val="28"/>
          <w:szCs w:val="28"/>
        </w:rPr>
        <w:t>"</w:t>
      </w:r>
      <w:r>
        <w:rPr>
          <w:sz w:val="28"/>
          <w:szCs w:val="28"/>
        </w:rPr>
        <w:t>Опришівці</w:t>
      </w:r>
      <w:r w:rsidR="00D24A0C">
        <w:rPr>
          <w:sz w:val="28"/>
          <w:szCs w:val="28"/>
        </w:rPr>
        <w:t>"</w:t>
      </w:r>
      <w:r>
        <w:rPr>
          <w:sz w:val="28"/>
          <w:szCs w:val="28"/>
          <w:lang w:val="uk-UA"/>
        </w:rPr>
        <w:t>;</w:t>
      </w:r>
    </w:p>
    <w:p w:rsidR="0004503D" w:rsidRDefault="0004503D" w:rsidP="007B5FC8">
      <w:pPr>
        <w:pStyle w:val="a7"/>
        <w:tabs>
          <w:tab w:val="left" w:pos="851"/>
          <w:tab w:val="left" w:pos="1134"/>
        </w:tabs>
        <w:spacing w:after="0"/>
        <w:ind w:left="0" w:firstLine="709"/>
        <w:jc w:val="both"/>
        <w:outlineLvl w:val="0"/>
        <w:rPr>
          <w:sz w:val="28"/>
          <w:szCs w:val="28"/>
          <w:lang w:val="uk-UA"/>
        </w:rPr>
      </w:pPr>
      <w:r w:rsidRPr="0004503D">
        <w:rPr>
          <w:sz w:val="28"/>
          <w:szCs w:val="28"/>
          <w:lang w:val="uk-UA"/>
        </w:rPr>
        <w:t>- р</w:t>
      </w:r>
      <w:r w:rsidRPr="0004503D">
        <w:rPr>
          <w:sz w:val="28"/>
          <w:szCs w:val="28"/>
        </w:rPr>
        <w:t xml:space="preserve">озроблено проектно-кошторисну документацію та оголошено закупівлю на будівництво корпусу початкової школи </w:t>
      </w:r>
      <w:r>
        <w:rPr>
          <w:sz w:val="28"/>
          <w:szCs w:val="28"/>
          <w:lang w:val="uk-UA"/>
        </w:rPr>
        <w:t>"</w:t>
      </w:r>
      <w:r w:rsidRPr="0004503D">
        <w:rPr>
          <w:sz w:val="28"/>
          <w:szCs w:val="28"/>
        </w:rPr>
        <w:t>Пасічнянська</w:t>
      </w:r>
      <w:r>
        <w:rPr>
          <w:sz w:val="28"/>
          <w:szCs w:val="28"/>
          <w:lang w:val="uk-UA"/>
        </w:rPr>
        <w:t>";</w:t>
      </w:r>
    </w:p>
    <w:p w:rsidR="00411C3C" w:rsidRDefault="006A082F" w:rsidP="007B5FC8">
      <w:pPr>
        <w:pStyle w:val="a7"/>
        <w:tabs>
          <w:tab w:val="left" w:pos="851"/>
          <w:tab w:val="left" w:pos="1134"/>
        </w:tabs>
        <w:spacing w:after="0"/>
        <w:ind w:left="0" w:firstLine="709"/>
        <w:jc w:val="both"/>
        <w:outlineLvl w:val="0"/>
        <w:rPr>
          <w:sz w:val="28"/>
          <w:szCs w:val="28"/>
          <w:lang w:val="uk-UA"/>
        </w:rPr>
      </w:pPr>
      <w:r>
        <w:rPr>
          <w:sz w:val="28"/>
          <w:szCs w:val="28"/>
          <w:lang w:val="uk-UA"/>
        </w:rPr>
        <w:t>- р</w:t>
      </w:r>
      <w:r w:rsidR="00411C3C" w:rsidRPr="00411C3C">
        <w:rPr>
          <w:sz w:val="28"/>
          <w:szCs w:val="28"/>
          <w:lang w:val="uk-UA"/>
        </w:rPr>
        <w:t>озпочато реконструкцію з добудовою приміщень Крихівецької ЗОШ ІІІІ ступенів на вул.</w:t>
      </w:r>
      <w:r w:rsidR="00411C3C">
        <w:rPr>
          <w:sz w:val="28"/>
          <w:szCs w:val="28"/>
          <w:lang w:val="uk-UA"/>
        </w:rPr>
        <w:t xml:space="preserve"> 22 Січня, 141А в с. Крихівці;</w:t>
      </w:r>
    </w:p>
    <w:p w:rsidR="00FE246A" w:rsidRDefault="00FE246A" w:rsidP="00FE246A">
      <w:pPr>
        <w:pStyle w:val="a7"/>
        <w:spacing w:after="0"/>
        <w:ind w:left="0" w:firstLine="709"/>
        <w:jc w:val="both"/>
        <w:outlineLvl w:val="0"/>
        <w:rPr>
          <w:sz w:val="28"/>
          <w:szCs w:val="28"/>
          <w:lang w:val="uk-UA"/>
        </w:rPr>
      </w:pPr>
      <w:r w:rsidRPr="00FE246A">
        <w:rPr>
          <w:sz w:val="28"/>
          <w:szCs w:val="28"/>
          <w:lang w:val="uk-UA"/>
        </w:rPr>
        <w:t xml:space="preserve">- проведено капітальний ремонт приміщень </w:t>
      </w:r>
      <w:r w:rsidRPr="00FE246A">
        <w:rPr>
          <w:sz w:val="28"/>
          <w:szCs w:val="28"/>
        </w:rPr>
        <w:t>ЗШ №3, ЗШ №12, Вовчинецька ЗШ</w:t>
      </w:r>
      <w:r w:rsidRPr="00FE246A">
        <w:rPr>
          <w:sz w:val="28"/>
          <w:szCs w:val="28"/>
          <w:lang w:val="uk-UA"/>
        </w:rPr>
        <w:t>,</w:t>
      </w:r>
      <w:r w:rsidRPr="00FE246A">
        <w:rPr>
          <w:sz w:val="28"/>
          <w:szCs w:val="28"/>
        </w:rPr>
        <w:t xml:space="preserve"> ЗШС №3</w:t>
      </w:r>
      <w:r w:rsidRPr="00FE246A">
        <w:rPr>
          <w:sz w:val="28"/>
          <w:szCs w:val="28"/>
          <w:lang w:val="uk-UA"/>
        </w:rPr>
        <w:t xml:space="preserve">, </w:t>
      </w:r>
      <w:r w:rsidRPr="00FE246A">
        <w:rPr>
          <w:sz w:val="28"/>
          <w:szCs w:val="28"/>
        </w:rPr>
        <w:t>СШ №5,ЗШ №9, ЗШЛ №23, ЗШ №28, Початков</w:t>
      </w:r>
      <w:r w:rsidRPr="00FE246A">
        <w:rPr>
          <w:sz w:val="28"/>
          <w:szCs w:val="28"/>
          <w:lang w:val="uk-UA"/>
        </w:rPr>
        <w:t>ої</w:t>
      </w:r>
      <w:r w:rsidRPr="00FE246A">
        <w:rPr>
          <w:sz w:val="28"/>
          <w:szCs w:val="28"/>
        </w:rPr>
        <w:t xml:space="preserve"> школ</w:t>
      </w:r>
      <w:r w:rsidRPr="00FE246A">
        <w:rPr>
          <w:sz w:val="28"/>
          <w:szCs w:val="28"/>
          <w:lang w:val="uk-UA"/>
        </w:rPr>
        <w:t>и</w:t>
      </w:r>
      <w:r w:rsidRPr="00FE246A">
        <w:rPr>
          <w:sz w:val="28"/>
          <w:szCs w:val="28"/>
        </w:rPr>
        <w:t xml:space="preserve"> ім. С.Русової</w:t>
      </w:r>
      <w:r w:rsidRPr="00FE246A">
        <w:rPr>
          <w:sz w:val="28"/>
          <w:szCs w:val="28"/>
          <w:lang w:val="uk-UA"/>
        </w:rPr>
        <w:t>;</w:t>
      </w:r>
    </w:p>
    <w:p w:rsidR="00FE246A" w:rsidRPr="00FE246A" w:rsidRDefault="00FE246A" w:rsidP="00FE246A">
      <w:pPr>
        <w:pStyle w:val="a7"/>
        <w:spacing w:after="0"/>
        <w:ind w:left="0" w:firstLine="709"/>
        <w:jc w:val="both"/>
        <w:outlineLvl w:val="0"/>
        <w:rPr>
          <w:sz w:val="28"/>
          <w:szCs w:val="28"/>
          <w:lang w:val="uk-UA"/>
        </w:rPr>
      </w:pPr>
      <w:r>
        <w:rPr>
          <w:sz w:val="28"/>
          <w:szCs w:val="28"/>
          <w:lang w:val="uk-UA"/>
        </w:rPr>
        <w:t xml:space="preserve">- </w:t>
      </w:r>
      <w:r w:rsidRPr="00FE246A">
        <w:rPr>
          <w:sz w:val="28"/>
          <w:szCs w:val="28"/>
          <w:lang w:val="uk-UA"/>
        </w:rPr>
        <w:t>проведено к</w:t>
      </w:r>
      <w:r w:rsidRPr="00FE246A">
        <w:rPr>
          <w:sz w:val="28"/>
          <w:szCs w:val="28"/>
        </w:rPr>
        <w:t>апітальний ремонт благоустрою території</w:t>
      </w:r>
      <w:r>
        <w:rPr>
          <w:sz w:val="28"/>
          <w:szCs w:val="28"/>
          <w:lang w:val="uk-UA"/>
        </w:rPr>
        <w:t xml:space="preserve"> </w:t>
      </w:r>
      <w:r>
        <w:t>ЗШ №22</w:t>
      </w:r>
      <w:r>
        <w:rPr>
          <w:lang w:val="uk-UA"/>
        </w:rPr>
        <w:t xml:space="preserve"> та </w:t>
      </w:r>
      <w:r>
        <w:t>ЗШ №25</w:t>
      </w:r>
      <w:r>
        <w:rPr>
          <w:lang w:val="uk-UA"/>
        </w:rPr>
        <w:t>;</w:t>
      </w:r>
    </w:p>
    <w:p w:rsidR="00FE246A" w:rsidRDefault="00FE246A" w:rsidP="00FE246A">
      <w:pPr>
        <w:numPr>
          <w:ilvl w:val="0"/>
          <w:numId w:val="16"/>
        </w:numPr>
        <w:tabs>
          <w:tab w:val="clear" w:pos="1428"/>
          <w:tab w:val="num" w:pos="142"/>
        </w:tabs>
        <w:ind w:left="0" w:firstLine="567"/>
        <w:jc w:val="both"/>
        <w:outlineLvl w:val="0"/>
        <w:rPr>
          <w:lang w:val="uk-UA"/>
        </w:rPr>
      </w:pPr>
      <w:r>
        <w:rPr>
          <w:lang w:val="uk-UA"/>
        </w:rPr>
        <w:t xml:space="preserve"> завершено роботи з к</w:t>
      </w:r>
      <w:r w:rsidRPr="009C5286">
        <w:rPr>
          <w:lang w:val="uk-UA"/>
        </w:rPr>
        <w:t>апітальн</w:t>
      </w:r>
      <w:r>
        <w:rPr>
          <w:lang w:val="uk-UA"/>
        </w:rPr>
        <w:t>ого</w:t>
      </w:r>
      <w:r w:rsidRPr="009C5286">
        <w:rPr>
          <w:lang w:val="uk-UA"/>
        </w:rPr>
        <w:t xml:space="preserve"> ремонт</w:t>
      </w:r>
      <w:r>
        <w:rPr>
          <w:lang w:val="uk-UA"/>
        </w:rPr>
        <w:t>у</w:t>
      </w:r>
      <w:r w:rsidRPr="009C5286">
        <w:rPr>
          <w:lang w:val="uk-UA"/>
        </w:rPr>
        <w:t xml:space="preserve"> систем опалення та водопостачання</w:t>
      </w:r>
      <w:r>
        <w:rPr>
          <w:lang w:val="uk-UA"/>
        </w:rPr>
        <w:t xml:space="preserve"> у </w:t>
      </w:r>
      <w:r w:rsidRPr="009C5286">
        <w:rPr>
          <w:lang w:val="uk-UA"/>
        </w:rPr>
        <w:t>ЗШ №4, СШ №11, ЗШ №21,</w:t>
      </w:r>
      <w:r w:rsidR="004D329F">
        <w:rPr>
          <w:lang w:val="uk-UA"/>
        </w:rPr>
        <w:t xml:space="preserve"> </w:t>
      </w:r>
      <w:r w:rsidR="004D329F" w:rsidRPr="009C5286">
        <w:rPr>
          <w:lang w:val="uk-UA"/>
        </w:rPr>
        <w:t xml:space="preserve">ЗШ №26, ДЮК </w:t>
      </w:r>
      <w:r w:rsidR="004D329F">
        <w:rPr>
          <w:lang w:val="uk-UA"/>
        </w:rPr>
        <w:t>"</w:t>
      </w:r>
      <w:r w:rsidRPr="009C5286">
        <w:rPr>
          <w:lang w:val="uk-UA"/>
        </w:rPr>
        <w:t>Мрія</w:t>
      </w:r>
      <w:r w:rsidR="004D329F">
        <w:rPr>
          <w:lang w:val="uk-UA"/>
        </w:rPr>
        <w:t>"</w:t>
      </w:r>
      <w:r w:rsidRPr="009C5286">
        <w:rPr>
          <w:lang w:val="uk-UA"/>
        </w:rPr>
        <w:t>, Гімназі</w:t>
      </w:r>
      <w:r w:rsidR="004D329F">
        <w:rPr>
          <w:lang w:val="uk-UA"/>
        </w:rPr>
        <w:t>ї</w:t>
      </w:r>
      <w:r w:rsidRPr="009C5286">
        <w:rPr>
          <w:lang w:val="uk-UA"/>
        </w:rPr>
        <w:t xml:space="preserve"> №2, Крихівецьк</w:t>
      </w:r>
      <w:r w:rsidR="004D329F">
        <w:rPr>
          <w:lang w:val="uk-UA"/>
        </w:rPr>
        <w:t>ій</w:t>
      </w:r>
      <w:r w:rsidRPr="009C5286">
        <w:rPr>
          <w:lang w:val="uk-UA"/>
        </w:rPr>
        <w:t xml:space="preserve"> ЗШ, ДЮСШ №3</w:t>
      </w:r>
      <w:r>
        <w:rPr>
          <w:lang w:val="uk-UA"/>
        </w:rPr>
        <w:t>;</w:t>
      </w:r>
    </w:p>
    <w:p w:rsidR="00963DC2" w:rsidRPr="00963DC2" w:rsidRDefault="00963DC2" w:rsidP="004D329F">
      <w:pPr>
        <w:pStyle w:val="a7"/>
        <w:spacing w:after="0"/>
        <w:ind w:left="0" w:firstLine="567"/>
        <w:jc w:val="both"/>
        <w:outlineLvl w:val="0"/>
        <w:rPr>
          <w:sz w:val="28"/>
          <w:szCs w:val="28"/>
          <w:lang w:val="uk-UA"/>
        </w:rPr>
      </w:pPr>
      <w:r w:rsidRPr="00963DC2">
        <w:rPr>
          <w:sz w:val="28"/>
          <w:szCs w:val="28"/>
          <w:lang w:val="uk-UA"/>
        </w:rPr>
        <w:t xml:space="preserve">- </w:t>
      </w:r>
      <w:r w:rsidRPr="00963DC2">
        <w:rPr>
          <w:sz w:val="28"/>
          <w:szCs w:val="28"/>
        </w:rPr>
        <w:t xml:space="preserve">проведено </w:t>
      </w:r>
      <w:r w:rsidRPr="00963DC2">
        <w:rPr>
          <w:sz w:val="28"/>
          <w:szCs w:val="28"/>
          <w:lang w:val="uk-UA"/>
        </w:rPr>
        <w:t>к</w:t>
      </w:r>
      <w:r w:rsidRPr="00963DC2">
        <w:rPr>
          <w:sz w:val="28"/>
          <w:szCs w:val="28"/>
        </w:rPr>
        <w:t>апітальний ремонт приміщень харчоблоку у ЗШ № 10</w:t>
      </w:r>
      <w:r w:rsidRPr="00963DC2">
        <w:rPr>
          <w:sz w:val="28"/>
          <w:szCs w:val="28"/>
          <w:lang w:val="uk-UA"/>
        </w:rPr>
        <w:t>,</w:t>
      </w:r>
      <w:r w:rsidRPr="00963DC2">
        <w:rPr>
          <w:sz w:val="28"/>
          <w:szCs w:val="28"/>
        </w:rPr>
        <w:t xml:space="preserve"> ЗШ № 24, ліцеї № 13, НРЦ</w:t>
      </w:r>
      <w:r w:rsidRPr="00963DC2">
        <w:rPr>
          <w:sz w:val="28"/>
          <w:szCs w:val="28"/>
          <w:lang w:val="uk-UA"/>
        </w:rPr>
        <w:t>;</w:t>
      </w:r>
    </w:p>
    <w:p w:rsidR="00963DC2" w:rsidRPr="00963DC2" w:rsidRDefault="00963DC2" w:rsidP="007B5FC8">
      <w:pPr>
        <w:pStyle w:val="a7"/>
        <w:spacing w:after="0"/>
        <w:ind w:left="0" w:firstLine="426"/>
        <w:jc w:val="both"/>
        <w:outlineLvl w:val="0"/>
        <w:rPr>
          <w:sz w:val="28"/>
          <w:szCs w:val="28"/>
          <w:lang w:val="uk-UA"/>
        </w:rPr>
      </w:pPr>
      <w:r w:rsidRPr="00963DC2">
        <w:rPr>
          <w:sz w:val="28"/>
          <w:szCs w:val="28"/>
          <w:lang w:val="uk-UA"/>
        </w:rPr>
        <w:t xml:space="preserve">- </w:t>
      </w:r>
      <w:r w:rsidRPr="00963DC2">
        <w:rPr>
          <w:sz w:val="28"/>
          <w:szCs w:val="28"/>
        </w:rPr>
        <w:t>проведено капітальний ремонт із розширення та осучаснення простору їдальні ЗШ №2</w:t>
      </w:r>
      <w:r w:rsidRPr="00963DC2">
        <w:rPr>
          <w:sz w:val="28"/>
          <w:szCs w:val="28"/>
          <w:lang w:val="uk-UA"/>
        </w:rPr>
        <w:t xml:space="preserve"> </w:t>
      </w:r>
      <w:r w:rsidRPr="00963DC2">
        <w:rPr>
          <w:sz w:val="28"/>
          <w:szCs w:val="28"/>
        </w:rPr>
        <w:t>та ремонт шкільного буфету ЗШ №16</w:t>
      </w:r>
      <w:r w:rsidRPr="00963DC2">
        <w:rPr>
          <w:sz w:val="28"/>
          <w:szCs w:val="28"/>
          <w:lang w:val="uk-UA"/>
        </w:rPr>
        <w:t>;</w:t>
      </w:r>
    </w:p>
    <w:p w:rsidR="00963DC2" w:rsidRPr="004D329F" w:rsidRDefault="00963DC2" w:rsidP="007B5FC8">
      <w:pPr>
        <w:pStyle w:val="a7"/>
        <w:spacing w:after="0"/>
        <w:ind w:left="0" w:firstLine="426"/>
        <w:jc w:val="both"/>
        <w:outlineLvl w:val="0"/>
        <w:rPr>
          <w:sz w:val="28"/>
          <w:szCs w:val="28"/>
          <w:lang w:val="uk-UA"/>
        </w:rPr>
      </w:pPr>
      <w:r w:rsidRPr="00963DC2">
        <w:rPr>
          <w:sz w:val="28"/>
          <w:szCs w:val="28"/>
          <w:lang w:val="uk-UA"/>
        </w:rPr>
        <w:t xml:space="preserve">- </w:t>
      </w:r>
      <w:r w:rsidRPr="00963DC2">
        <w:rPr>
          <w:sz w:val="28"/>
          <w:szCs w:val="28"/>
        </w:rPr>
        <w:t>закуплено кухонне обладнання для Микитинецької ЗШ, Хриплинської ЗШ</w:t>
      </w:r>
      <w:r w:rsidRPr="00963DC2">
        <w:rPr>
          <w:sz w:val="28"/>
          <w:szCs w:val="28"/>
          <w:lang w:val="uk-UA"/>
        </w:rPr>
        <w:t xml:space="preserve"> та</w:t>
      </w:r>
      <w:r w:rsidRPr="00963DC2">
        <w:rPr>
          <w:sz w:val="28"/>
          <w:szCs w:val="28"/>
        </w:rPr>
        <w:t xml:space="preserve"> ЗШ І ст. № 8</w:t>
      </w:r>
      <w:r w:rsidR="004D329F">
        <w:rPr>
          <w:sz w:val="28"/>
          <w:szCs w:val="28"/>
          <w:lang w:val="uk-UA"/>
        </w:rPr>
        <w:t>.</w:t>
      </w:r>
    </w:p>
    <w:p w:rsidR="007B5FC8" w:rsidRDefault="007B5FC8" w:rsidP="009F2324">
      <w:pPr>
        <w:pStyle w:val="a7"/>
        <w:spacing w:after="0"/>
        <w:ind w:left="0" w:firstLine="708"/>
        <w:jc w:val="both"/>
        <w:outlineLvl w:val="0"/>
        <w:rPr>
          <w:sz w:val="28"/>
          <w:szCs w:val="28"/>
          <w:lang w:val="uk-UA"/>
        </w:rPr>
      </w:pPr>
      <w:r w:rsidRPr="00B328CB">
        <w:rPr>
          <w:sz w:val="28"/>
          <w:szCs w:val="28"/>
          <w:lang w:val="uk-UA"/>
        </w:rPr>
        <w:lastRenderedPageBreak/>
        <w:t xml:space="preserve">З метою реалізації основних положень Закону України "Про освіту", програми "Нова українська школа" затверджено план заходів щодо реалізації концепції "Нової української школи" у закладах загальної середньої освіти м. Івано-Франківська. </w:t>
      </w:r>
      <w:r w:rsidR="00963DC2" w:rsidRPr="00B328CB">
        <w:rPr>
          <w:sz w:val="28"/>
          <w:szCs w:val="28"/>
        </w:rPr>
        <w:t>Загальна сума витрат із місцевого бюджету на Нову українську школу становить у 2019р. – 28млн.603тис.404 грн. Упродовж вересня 2019 року у заклади загальної середньої освіти завезено дидактичне обладнання для математичної, природничої, мистецької освітніх галузей Нової української школи. Організована робота щодо забезпечення перших класів комп’ютерним обладнанням та учнівськими партами.</w:t>
      </w:r>
    </w:p>
    <w:p w:rsidR="00FC72E2" w:rsidRPr="00FC72E2" w:rsidRDefault="00FC72E2" w:rsidP="009F2324">
      <w:pPr>
        <w:pStyle w:val="a7"/>
        <w:spacing w:after="0"/>
        <w:ind w:left="0" w:firstLine="708"/>
        <w:jc w:val="both"/>
        <w:outlineLvl w:val="0"/>
        <w:rPr>
          <w:sz w:val="28"/>
          <w:szCs w:val="28"/>
          <w:lang w:val="uk-UA"/>
        </w:rPr>
      </w:pPr>
    </w:p>
    <w:p w:rsidR="007B5FC8" w:rsidRPr="00AB5B88" w:rsidRDefault="007B5FC8" w:rsidP="007B5FC8">
      <w:pPr>
        <w:pStyle w:val="a7"/>
        <w:numPr>
          <w:ilvl w:val="1"/>
          <w:numId w:val="13"/>
        </w:numPr>
        <w:spacing w:after="0"/>
        <w:ind w:left="1134" w:hanging="425"/>
        <w:jc w:val="both"/>
        <w:outlineLvl w:val="0"/>
        <w:rPr>
          <w:i/>
          <w:sz w:val="28"/>
          <w:szCs w:val="28"/>
          <w:lang w:val="uk-UA"/>
        </w:rPr>
      </w:pPr>
      <w:r w:rsidRPr="00AB5B88">
        <w:rPr>
          <w:i/>
          <w:sz w:val="28"/>
          <w:szCs w:val="28"/>
          <w:lang w:val="uk-UA"/>
        </w:rPr>
        <w:t>Молодіжна та сімейна політика</w:t>
      </w:r>
    </w:p>
    <w:p w:rsidR="00AB5B88" w:rsidRDefault="00AB5B88" w:rsidP="007B5FC8">
      <w:pPr>
        <w:pStyle w:val="af1"/>
        <w:ind w:left="0" w:firstLine="709"/>
        <w:jc w:val="both"/>
        <w:rPr>
          <w:sz w:val="28"/>
          <w:szCs w:val="28"/>
          <w:lang w:val="uk-UA"/>
        </w:rPr>
      </w:pPr>
      <w:r w:rsidRPr="009C5286">
        <w:rPr>
          <w:sz w:val="28"/>
          <w:szCs w:val="28"/>
          <w:lang w:val="uk-UA"/>
        </w:rPr>
        <w:t xml:space="preserve">З метою національно – патріотичного виховання молоді в місті організовано та проведено більше 15-ти масштабних заходів та акцій за участі молоді міста, серед яких: віче-реквієм з нагоди вшанування 101 – річниці пам’яті героїв Крут; молодіжна акція </w:t>
      </w:r>
      <w:r w:rsidR="00D24A0C" w:rsidRPr="009C5286">
        <w:rPr>
          <w:sz w:val="28"/>
          <w:szCs w:val="28"/>
          <w:lang w:val="uk-UA"/>
        </w:rPr>
        <w:t>"</w:t>
      </w:r>
      <w:r w:rsidRPr="009C5286">
        <w:rPr>
          <w:sz w:val="28"/>
          <w:szCs w:val="28"/>
          <w:lang w:val="uk-UA"/>
        </w:rPr>
        <w:t>Творимо Україну разом</w:t>
      </w:r>
      <w:r w:rsidR="00D24A0C" w:rsidRPr="009C5286">
        <w:rPr>
          <w:sz w:val="28"/>
          <w:szCs w:val="28"/>
          <w:lang w:val="uk-UA"/>
        </w:rPr>
        <w:t>"</w:t>
      </w:r>
      <w:r w:rsidRPr="009C5286">
        <w:rPr>
          <w:sz w:val="28"/>
          <w:szCs w:val="28"/>
          <w:lang w:val="uk-UA"/>
        </w:rPr>
        <w:t xml:space="preserve"> напередодні Дня Соборності України. </w:t>
      </w:r>
      <w:r w:rsidRPr="00AB5B88">
        <w:rPr>
          <w:sz w:val="28"/>
          <w:szCs w:val="28"/>
        </w:rPr>
        <w:t xml:space="preserve">Також в рамках відзначення цієї знаменної дати, за участі представників громадських організацій, утворено </w:t>
      </w:r>
      <w:r w:rsidR="00D24A0C">
        <w:rPr>
          <w:sz w:val="28"/>
          <w:szCs w:val="28"/>
        </w:rPr>
        <w:t>"</w:t>
      </w:r>
      <w:r w:rsidRPr="00AB5B88">
        <w:rPr>
          <w:sz w:val="28"/>
          <w:szCs w:val="28"/>
        </w:rPr>
        <w:t>живий ланцюг</w:t>
      </w:r>
      <w:r w:rsidR="00D24A0C">
        <w:rPr>
          <w:sz w:val="28"/>
          <w:szCs w:val="28"/>
        </w:rPr>
        <w:t>"</w:t>
      </w:r>
      <w:r w:rsidRPr="00AB5B88">
        <w:rPr>
          <w:sz w:val="28"/>
          <w:szCs w:val="28"/>
        </w:rPr>
        <w:t xml:space="preserve"> по вул. Незалежності. З нагоди відзначення Дня пам’яті Героїв Небесної Сотні та революції Гідності проведено пам'ятний захід </w:t>
      </w:r>
      <w:r w:rsidR="00D24A0C">
        <w:rPr>
          <w:sz w:val="28"/>
          <w:szCs w:val="28"/>
        </w:rPr>
        <w:t>"</w:t>
      </w:r>
      <w:r w:rsidRPr="00AB5B88">
        <w:rPr>
          <w:sz w:val="28"/>
          <w:szCs w:val="28"/>
        </w:rPr>
        <w:t>Мистецька барикада</w:t>
      </w:r>
      <w:r w:rsidR="00D24A0C">
        <w:rPr>
          <w:sz w:val="28"/>
          <w:szCs w:val="28"/>
        </w:rPr>
        <w:t>"</w:t>
      </w:r>
      <w:r w:rsidRPr="00AB5B88">
        <w:rPr>
          <w:sz w:val="28"/>
          <w:szCs w:val="28"/>
        </w:rPr>
        <w:t xml:space="preserve">. Більше ніж пів сотні учнів загальноосвітніх шкіл міста взяли участь в міській молодіжній науково-пізнавальній патріотичній Програмі </w:t>
      </w:r>
      <w:r w:rsidR="00D24A0C">
        <w:rPr>
          <w:sz w:val="28"/>
          <w:szCs w:val="28"/>
        </w:rPr>
        <w:t>"</w:t>
      </w:r>
      <w:r w:rsidRPr="00AB5B88">
        <w:rPr>
          <w:sz w:val="28"/>
          <w:szCs w:val="28"/>
        </w:rPr>
        <w:t>Чорний ліс - 2019</w:t>
      </w:r>
      <w:r w:rsidR="00D24A0C">
        <w:rPr>
          <w:sz w:val="28"/>
          <w:szCs w:val="28"/>
        </w:rPr>
        <w:t>"</w:t>
      </w:r>
      <w:r w:rsidRPr="00AB5B88">
        <w:rPr>
          <w:sz w:val="28"/>
          <w:szCs w:val="28"/>
        </w:rPr>
        <w:t xml:space="preserve">. </w:t>
      </w:r>
    </w:p>
    <w:p w:rsidR="00AB5B88" w:rsidRPr="00AB5B88" w:rsidRDefault="00AB5B88" w:rsidP="007B5FC8">
      <w:pPr>
        <w:pStyle w:val="af1"/>
        <w:ind w:left="0" w:firstLine="709"/>
        <w:jc w:val="both"/>
        <w:rPr>
          <w:sz w:val="28"/>
          <w:szCs w:val="28"/>
          <w:lang w:val="uk-UA"/>
        </w:rPr>
      </w:pPr>
      <w:r w:rsidRPr="009C5286">
        <w:rPr>
          <w:sz w:val="28"/>
          <w:szCs w:val="28"/>
          <w:lang w:val="uk-UA"/>
        </w:rPr>
        <w:t xml:space="preserve">В рамках програми міжнародних волонтерських стажувань спільно з ГО </w:t>
      </w:r>
      <w:r w:rsidR="00D24A0C" w:rsidRPr="009C5286">
        <w:rPr>
          <w:sz w:val="28"/>
          <w:szCs w:val="28"/>
          <w:lang w:val="uk-UA"/>
        </w:rPr>
        <w:t>"</w:t>
      </w:r>
      <w:r w:rsidRPr="009C5286">
        <w:rPr>
          <w:sz w:val="28"/>
          <w:szCs w:val="28"/>
          <w:lang w:val="uk-UA"/>
        </w:rPr>
        <w:t xml:space="preserve">Міський локальний Комітет </w:t>
      </w:r>
      <w:r w:rsidR="00D24A0C" w:rsidRPr="009C5286">
        <w:rPr>
          <w:sz w:val="28"/>
          <w:szCs w:val="28"/>
          <w:lang w:val="uk-UA"/>
        </w:rPr>
        <w:t>"</w:t>
      </w:r>
      <w:r w:rsidRPr="009C5286">
        <w:rPr>
          <w:sz w:val="28"/>
          <w:szCs w:val="28"/>
          <w:lang w:val="uk-UA"/>
        </w:rPr>
        <w:t>АІЕСЕК – Івано-Франківськ</w:t>
      </w:r>
      <w:r w:rsidR="00D24A0C" w:rsidRPr="009C5286">
        <w:rPr>
          <w:sz w:val="28"/>
          <w:szCs w:val="28"/>
          <w:lang w:val="uk-UA"/>
        </w:rPr>
        <w:t>"</w:t>
      </w:r>
      <w:r w:rsidRPr="009C5286">
        <w:rPr>
          <w:sz w:val="28"/>
          <w:szCs w:val="28"/>
          <w:lang w:val="uk-UA"/>
        </w:rPr>
        <w:t xml:space="preserve"> двічі проведено фестиваль культур </w:t>
      </w:r>
      <w:r w:rsidR="00D24A0C" w:rsidRPr="009C5286">
        <w:rPr>
          <w:sz w:val="28"/>
          <w:szCs w:val="28"/>
          <w:lang w:val="uk-UA"/>
        </w:rPr>
        <w:t>"</w:t>
      </w:r>
      <w:r w:rsidRPr="00AB5B88">
        <w:rPr>
          <w:sz w:val="28"/>
          <w:szCs w:val="28"/>
        </w:rPr>
        <w:t>Global</w:t>
      </w:r>
      <w:r w:rsidRPr="009C5286">
        <w:rPr>
          <w:sz w:val="28"/>
          <w:szCs w:val="28"/>
          <w:lang w:val="uk-UA"/>
        </w:rPr>
        <w:t xml:space="preserve"> </w:t>
      </w:r>
      <w:r w:rsidRPr="00AB5B88">
        <w:rPr>
          <w:sz w:val="28"/>
          <w:szCs w:val="28"/>
        </w:rPr>
        <w:t>Village</w:t>
      </w:r>
      <w:r w:rsidR="00D24A0C" w:rsidRPr="009C5286">
        <w:rPr>
          <w:sz w:val="28"/>
          <w:szCs w:val="28"/>
          <w:lang w:val="uk-UA"/>
        </w:rPr>
        <w:t>"</w:t>
      </w:r>
      <w:r w:rsidRPr="009C5286">
        <w:rPr>
          <w:sz w:val="28"/>
          <w:szCs w:val="28"/>
          <w:lang w:val="uk-UA"/>
        </w:rPr>
        <w:t>, спрямований на руйнування міжкультурних та міжнаціональних стереотипів та знайомство франківчан з культурами різних країн світу. Більш ніж 60 іноземних волонтерів з 10 країн світу, серед яких Індонезія, Туреччина, Чехія, Китай, Єгипет, Іспанія, Греція та ін. представляли свої національні страви, костюми, вироби з кераміки та інше.</w:t>
      </w:r>
    </w:p>
    <w:p w:rsidR="00AB5B88" w:rsidRDefault="00AB5B88" w:rsidP="007B5FC8">
      <w:pPr>
        <w:pStyle w:val="af1"/>
        <w:ind w:left="0" w:firstLine="709"/>
        <w:jc w:val="both"/>
        <w:rPr>
          <w:sz w:val="28"/>
          <w:szCs w:val="28"/>
          <w:lang w:val="uk-UA"/>
        </w:rPr>
      </w:pPr>
      <w:r w:rsidRPr="009C5286">
        <w:rPr>
          <w:sz w:val="28"/>
          <w:szCs w:val="28"/>
          <w:lang w:val="uk-UA"/>
        </w:rPr>
        <w:t xml:space="preserve">З метою подолання стереотипів та упередженого ставлення до іноземних студентів міста, налагодження дружньої комунікації між представниками різних культур на площі фортеці Бастіон відбулось свято кольору </w:t>
      </w:r>
      <w:r w:rsidR="00D24A0C" w:rsidRPr="009C5286">
        <w:rPr>
          <w:sz w:val="28"/>
          <w:szCs w:val="28"/>
          <w:lang w:val="uk-UA"/>
        </w:rPr>
        <w:t>"</w:t>
      </w:r>
      <w:r w:rsidRPr="00AB5B88">
        <w:rPr>
          <w:sz w:val="28"/>
          <w:szCs w:val="28"/>
        </w:rPr>
        <w:t>Holi</w:t>
      </w:r>
      <w:r w:rsidRPr="009C5286">
        <w:rPr>
          <w:sz w:val="28"/>
          <w:szCs w:val="28"/>
          <w:lang w:val="uk-UA"/>
        </w:rPr>
        <w:t xml:space="preserve"> </w:t>
      </w:r>
      <w:r w:rsidRPr="00AB5B88">
        <w:rPr>
          <w:sz w:val="28"/>
          <w:szCs w:val="28"/>
        </w:rPr>
        <w:t>Fest</w:t>
      </w:r>
      <w:r w:rsidR="00D24A0C" w:rsidRPr="009C5286">
        <w:rPr>
          <w:sz w:val="28"/>
          <w:szCs w:val="28"/>
          <w:lang w:val="uk-UA"/>
        </w:rPr>
        <w:t>"</w:t>
      </w:r>
      <w:r w:rsidRPr="009C5286">
        <w:rPr>
          <w:sz w:val="28"/>
          <w:szCs w:val="28"/>
          <w:lang w:val="uk-UA"/>
        </w:rPr>
        <w:t>-2019</w:t>
      </w:r>
      <w:r w:rsidR="00D24A0C" w:rsidRPr="009C5286">
        <w:rPr>
          <w:sz w:val="28"/>
          <w:szCs w:val="28"/>
          <w:lang w:val="uk-UA"/>
        </w:rPr>
        <w:t>"</w:t>
      </w:r>
      <w:r w:rsidRPr="009C5286">
        <w:rPr>
          <w:sz w:val="28"/>
          <w:szCs w:val="28"/>
          <w:lang w:val="uk-UA"/>
        </w:rPr>
        <w:t xml:space="preserve">. </w:t>
      </w:r>
      <w:r w:rsidRPr="00AB5B88">
        <w:rPr>
          <w:sz w:val="28"/>
          <w:szCs w:val="28"/>
        </w:rPr>
        <w:t>Захід організовано ГО студентів-медиків UMSA</w:t>
      </w:r>
      <w:r>
        <w:rPr>
          <w:sz w:val="28"/>
          <w:szCs w:val="28"/>
          <w:lang w:val="uk-UA"/>
        </w:rPr>
        <w:t>.</w:t>
      </w:r>
      <w:r w:rsidRPr="00AB5B88">
        <w:rPr>
          <w:sz w:val="28"/>
          <w:szCs w:val="28"/>
        </w:rPr>
        <w:t xml:space="preserve"> </w:t>
      </w:r>
    </w:p>
    <w:p w:rsidR="00AB5B88" w:rsidRPr="00AB5B88" w:rsidRDefault="00AB5B88" w:rsidP="007B5FC8">
      <w:pPr>
        <w:pStyle w:val="af1"/>
        <w:ind w:left="0" w:firstLine="709"/>
        <w:jc w:val="both"/>
        <w:rPr>
          <w:sz w:val="28"/>
          <w:szCs w:val="28"/>
          <w:lang w:val="uk-UA"/>
        </w:rPr>
      </w:pPr>
      <w:r w:rsidRPr="00AB5B88">
        <w:rPr>
          <w:sz w:val="28"/>
          <w:szCs w:val="28"/>
          <w:lang w:val="uk-UA"/>
        </w:rPr>
        <w:t xml:space="preserve">Івано-Франківсь взяв </w:t>
      </w:r>
      <w:r w:rsidRPr="00AB5B88">
        <w:rPr>
          <w:sz w:val="28"/>
          <w:szCs w:val="28"/>
        </w:rPr>
        <w:t xml:space="preserve">участь в конкурсі </w:t>
      </w:r>
      <w:r w:rsidR="00D24A0C">
        <w:rPr>
          <w:sz w:val="28"/>
          <w:szCs w:val="28"/>
        </w:rPr>
        <w:t>"</w:t>
      </w:r>
      <w:r w:rsidRPr="00AB5B88">
        <w:rPr>
          <w:sz w:val="28"/>
          <w:szCs w:val="28"/>
        </w:rPr>
        <w:t>Молодіжна столиця України 2020</w:t>
      </w:r>
      <w:r w:rsidR="00D24A0C">
        <w:rPr>
          <w:sz w:val="28"/>
          <w:szCs w:val="28"/>
        </w:rPr>
        <w:t>"</w:t>
      </w:r>
      <w:r w:rsidRPr="00AB5B88">
        <w:rPr>
          <w:sz w:val="28"/>
          <w:szCs w:val="28"/>
        </w:rPr>
        <w:t>. Цьогоріч на конкурс було надіслано 48 заявок</w:t>
      </w:r>
      <w:r>
        <w:rPr>
          <w:sz w:val="28"/>
          <w:szCs w:val="28"/>
          <w:lang w:val="uk-UA"/>
        </w:rPr>
        <w:t>.</w:t>
      </w:r>
      <w:r w:rsidRPr="00AB5B88">
        <w:rPr>
          <w:sz w:val="28"/>
          <w:szCs w:val="28"/>
        </w:rPr>
        <w:t xml:space="preserve"> За підсумками голосування </w:t>
      </w:r>
      <w:r>
        <w:rPr>
          <w:sz w:val="28"/>
          <w:szCs w:val="28"/>
          <w:lang w:val="uk-UA"/>
        </w:rPr>
        <w:t>наше місто</w:t>
      </w:r>
      <w:r>
        <w:rPr>
          <w:sz w:val="28"/>
          <w:szCs w:val="28"/>
        </w:rPr>
        <w:t xml:space="preserve"> </w:t>
      </w:r>
      <w:r w:rsidRPr="00AB5B88">
        <w:rPr>
          <w:sz w:val="28"/>
          <w:szCs w:val="28"/>
        </w:rPr>
        <w:t>увійш</w:t>
      </w:r>
      <w:r>
        <w:rPr>
          <w:sz w:val="28"/>
          <w:szCs w:val="28"/>
          <w:lang w:val="uk-UA"/>
        </w:rPr>
        <w:t>л</w:t>
      </w:r>
      <w:r w:rsidRPr="00AB5B88">
        <w:rPr>
          <w:sz w:val="28"/>
          <w:szCs w:val="28"/>
        </w:rPr>
        <w:t>о до переліку кращих 10-ти міст України, дружніх до молоді.</w:t>
      </w:r>
    </w:p>
    <w:p w:rsidR="00AB5B88" w:rsidRPr="00AB5B88" w:rsidRDefault="00AB5B88" w:rsidP="007B5FC8">
      <w:pPr>
        <w:pStyle w:val="af1"/>
        <w:ind w:left="0" w:firstLine="709"/>
        <w:jc w:val="both"/>
        <w:rPr>
          <w:sz w:val="28"/>
          <w:szCs w:val="28"/>
          <w:lang w:val="uk-UA"/>
        </w:rPr>
      </w:pPr>
      <w:r w:rsidRPr="009C5286">
        <w:rPr>
          <w:sz w:val="28"/>
          <w:szCs w:val="28"/>
          <w:lang w:val="uk-UA"/>
        </w:rPr>
        <w:t>Для організації та проведення оздоровчої кампанії 2019 року з міського бюджету було виділено кошти у розмірі 1</w:t>
      </w:r>
      <w:r>
        <w:rPr>
          <w:sz w:val="28"/>
          <w:szCs w:val="28"/>
          <w:lang w:val="uk-UA"/>
        </w:rPr>
        <w:t>,2</w:t>
      </w:r>
      <w:r w:rsidRPr="009C5286">
        <w:rPr>
          <w:sz w:val="28"/>
          <w:szCs w:val="28"/>
          <w:lang w:val="uk-UA"/>
        </w:rPr>
        <w:t xml:space="preserve"> млн грн, що на 200 тисяч грн. більше ніж у минулому році. </w:t>
      </w:r>
      <w:r w:rsidRPr="00AB5B88">
        <w:rPr>
          <w:sz w:val="28"/>
          <w:szCs w:val="28"/>
        </w:rPr>
        <w:t>Станом на 30.12.2019 року направлено на оздоровлення 820 дітей пільгових категорій м. Івано-Франківська</w:t>
      </w:r>
      <w:r>
        <w:rPr>
          <w:sz w:val="28"/>
          <w:szCs w:val="28"/>
          <w:lang w:val="uk-UA"/>
        </w:rPr>
        <w:t>.</w:t>
      </w:r>
    </w:p>
    <w:p w:rsidR="00AB5B88" w:rsidRDefault="00AB5B88" w:rsidP="007B5FC8">
      <w:pPr>
        <w:pStyle w:val="af1"/>
        <w:ind w:left="0" w:firstLine="709"/>
        <w:jc w:val="both"/>
        <w:rPr>
          <w:sz w:val="28"/>
          <w:szCs w:val="28"/>
          <w:lang w:val="uk-UA"/>
        </w:rPr>
      </w:pPr>
      <w:r w:rsidRPr="00AB5B88">
        <w:rPr>
          <w:sz w:val="28"/>
          <w:szCs w:val="28"/>
        </w:rPr>
        <w:t xml:space="preserve">Станом на 31.12.19 р. на обліку в службі </w:t>
      </w:r>
      <w:proofErr w:type="gramStart"/>
      <w:r w:rsidRPr="00AB5B88">
        <w:rPr>
          <w:sz w:val="28"/>
          <w:szCs w:val="28"/>
        </w:rPr>
        <w:t>у справах</w:t>
      </w:r>
      <w:proofErr w:type="gramEnd"/>
      <w:r w:rsidRPr="00AB5B88">
        <w:rPr>
          <w:sz w:val="28"/>
          <w:szCs w:val="28"/>
        </w:rPr>
        <w:t xml:space="preserve"> дітей перебуває 202 особи, з них 160 дітей-сиріт та дітей, позбавлених батьківського піклування, 42 дитини, що опинились в складних життєвих обставинах. </w:t>
      </w:r>
    </w:p>
    <w:p w:rsidR="00AB5B88" w:rsidRDefault="00AB5B88" w:rsidP="007B5FC8">
      <w:pPr>
        <w:pStyle w:val="af1"/>
        <w:ind w:left="0" w:firstLine="709"/>
        <w:jc w:val="both"/>
        <w:rPr>
          <w:sz w:val="28"/>
          <w:szCs w:val="28"/>
          <w:lang w:val="uk-UA"/>
        </w:rPr>
      </w:pPr>
      <w:r w:rsidRPr="009C5286">
        <w:rPr>
          <w:sz w:val="28"/>
          <w:szCs w:val="28"/>
          <w:lang w:val="uk-UA"/>
        </w:rPr>
        <w:t xml:space="preserve">З категорії дітей-сиріт та дітей, позбавлених батьківського піклування: -123 дитини виховуються в сім’ях опікунів, піклувальників; </w:t>
      </w:r>
    </w:p>
    <w:p w:rsidR="00AB5B88" w:rsidRDefault="00AB5B88" w:rsidP="007B5FC8">
      <w:pPr>
        <w:pStyle w:val="af1"/>
        <w:ind w:left="0" w:firstLine="709"/>
        <w:jc w:val="both"/>
        <w:rPr>
          <w:sz w:val="28"/>
          <w:szCs w:val="28"/>
          <w:lang w:val="uk-UA"/>
        </w:rPr>
      </w:pPr>
      <w:r w:rsidRPr="00AB5B88">
        <w:rPr>
          <w:sz w:val="28"/>
          <w:szCs w:val="28"/>
        </w:rPr>
        <w:lastRenderedPageBreak/>
        <w:t xml:space="preserve">- 15 дітей – у прийомних сім’ях та ДБСТ; </w:t>
      </w:r>
    </w:p>
    <w:p w:rsidR="0020512C" w:rsidRDefault="00AB5B88" w:rsidP="007B5FC8">
      <w:pPr>
        <w:pStyle w:val="af1"/>
        <w:ind w:left="0" w:firstLine="709"/>
        <w:jc w:val="both"/>
        <w:rPr>
          <w:sz w:val="28"/>
          <w:szCs w:val="28"/>
          <w:lang w:val="uk-UA"/>
        </w:rPr>
      </w:pPr>
      <w:r w:rsidRPr="00AB5B88">
        <w:rPr>
          <w:sz w:val="28"/>
          <w:szCs w:val="28"/>
        </w:rPr>
        <w:t xml:space="preserve">- 20 дітей перебувають на повному державному забезпеченні (в державних дитячих закладах – 13; в середніх спеціальних навчальних закладах – 7); </w:t>
      </w:r>
    </w:p>
    <w:p w:rsidR="0020512C" w:rsidRDefault="00AB5B88" w:rsidP="007B5FC8">
      <w:pPr>
        <w:pStyle w:val="af1"/>
        <w:ind w:left="0" w:firstLine="709"/>
        <w:jc w:val="both"/>
        <w:rPr>
          <w:sz w:val="28"/>
          <w:szCs w:val="28"/>
          <w:lang w:val="uk-UA"/>
        </w:rPr>
      </w:pPr>
      <w:r w:rsidRPr="00AB5B88">
        <w:rPr>
          <w:sz w:val="28"/>
          <w:szCs w:val="28"/>
        </w:rPr>
        <w:t xml:space="preserve">- 2 дітей тимчасово влаштовані в сім’ї родичів, знайомих. </w:t>
      </w:r>
    </w:p>
    <w:p w:rsidR="00AB5B88" w:rsidRDefault="00AB5B88" w:rsidP="007B5FC8">
      <w:pPr>
        <w:pStyle w:val="af1"/>
        <w:ind w:left="0" w:firstLine="709"/>
        <w:jc w:val="both"/>
        <w:rPr>
          <w:sz w:val="28"/>
          <w:szCs w:val="28"/>
          <w:lang w:val="uk-UA"/>
        </w:rPr>
      </w:pPr>
      <w:r w:rsidRPr="00AB5B88">
        <w:rPr>
          <w:sz w:val="28"/>
          <w:szCs w:val="28"/>
        </w:rPr>
        <w:t xml:space="preserve">На даний час в м.Івано-Франківську функціонує 9 прийомних сімей, в яких виховується 13 дітей, та один дитячий будинок сімейного типу, в якому проживає 8 дітей. </w:t>
      </w:r>
    </w:p>
    <w:p w:rsidR="0020512C" w:rsidRDefault="0020512C" w:rsidP="007B5FC8">
      <w:pPr>
        <w:pStyle w:val="af1"/>
        <w:ind w:left="0" w:firstLine="709"/>
        <w:jc w:val="both"/>
        <w:rPr>
          <w:sz w:val="28"/>
          <w:szCs w:val="28"/>
          <w:lang w:val="uk-UA"/>
        </w:rPr>
      </w:pPr>
      <w:r w:rsidRPr="0020512C">
        <w:rPr>
          <w:sz w:val="28"/>
          <w:szCs w:val="28"/>
        </w:rPr>
        <w:t xml:space="preserve">Службою </w:t>
      </w:r>
      <w:proofErr w:type="gramStart"/>
      <w:r w:rsidRPr="0020512C">
        <w:rPr>
          <w:sz w:val="28"/>
          <w:szCs w:val="28"/>
        </w:rPr>
        <w:t>у справах</w:t>
      </w:r>
      <w:proofErr w:type="gramEnd"/>
      <w:r w:rsidRPr="0020512C">
        <w:rPr>
          <w:sz w:val="28"/>
          <w:szCs w:val="28"/>
        </w:rPr>
        <w:t xml:space="preserve"> дітей за звітній період взято на облік 49 дітей: </w:t>
      </w:r>
    </w:p>
    <w:p w:rsidR="0020512C" w:rsidRDefault="0020512C" w:rsidP="007B5FC8">
      <w:pPr>
        <w:pStyle w:val="af1"/>
        <w:ind w:left="0" w:firstLine="709"/>
        <w:jc w:val="both"/>
        <w:rPr>
          <w:sz w:val="28"/>
          <w:szCs w:val="28"/>
          <w:lang w:val="uk-UA"/>
        </w:rPr>
      </w:pPr>
      <w:r w:rsidRPr="009C5286">
        <w:rPr>
          <w:sz w:val="28"/>
          <w:szCs w:val="28"/>
          <w:lang w:val="uk-UA"/>
        </w:rPr>
        <w:t xml:space="preserve">16 – позбавлених батьківського піклування, </w:t>
      </w:r>
    </w:p>
    <w:p w:rsidR="0020512C" w:rsidRDefault="0020512C" w:rsidP="007B5FC8">
      <w:pPr>
        <w:pStyle w:val="af1"/>
        <w:ind w:left="0" w:firstLine="709"/>
        <w:jc w:val="both"/>
        <w:rPr>
          <w:sz w:val="28"/>
          <w:szCs w:val="28"/>
          <w:lang w:val="uk-UA"/>
        </w:rPr>
      </w:pPr>
      <w:r w:rsidRPr="009C5286">
        <w:rPr>
          <w:sz w:val="28"/>
          <w:szCs w:val="28"/>
          <w:lang w:val="uk-UA"/>
        </w:rPr>
        <w:t xml:space="preserve">10 – сиріт, </w:t>
      </w:r>
    </w:p>
    <w:p w:rsidR="0020512C" w:rsidRDefault="0020512C" w:rsidP="007B5FC8">
      <w:pPr>
        <w:pStyle w:val="af1"/>
        <w:ind w:left="0" w:firstLine="709"/>
        <w:jc w:val="both"/>
        <w:rPr>
          <w:sz w:val="28"/>
          <w:szCs w:val="28"/>
          <w:lang w:val="uk-UA"/>
        </w:rPr>
      </w:pPr>
      <w:r w:rsidRPr="009C5286">
        <w:rPr>
          <w:sz w:val="28"/>
          <w:szCs w:val="28"/>
          <w:lang w:val="uk-UA"/>
        </w:rPr>
        <w:t>23 – у зв’язку з ухиленням батьків від їх виховання та утримання</w:t>
      </w:r>
      <w:r>
        <w:rPr>
          <w:sz w:val="28"/>
          <w:szCs w:val="28"/>
          <w:lang w:val="uk-UA"/>
        </w:rPr>
        <w:t xml:space="preserve"> (</w:t>
      </w:r>
      <w:r w:rsidRPr="009C5286">
        <w:rPr>
          <w:sz w:val="28"/>
          <w:szCs w:val="28"/>
          <w:lang w:val="uk-UA"/>
        </w:rPr>
        <w:t xml:space="preserve">1 – у зв’язку із скоєнням щодо неї фізичного насильства, </w:t>
      </w:r>
      <w:r>
        <w:rPr>
          <w:sz w:val="28"/>
          <w:szCs w:val="28"/>
          <w:lang w:val="uk-UA"/>
        </w:rPr>
        <w:t>1-у</w:t>
      </w:r>
      <w:r w:rsidRPr="009C5286">
        <w:rPr>
          <w:sz w:val="28"/>
          <w:szCs w:val="28"/>
          <w:lang w:val="uk-UA"/>
        </w:rPr>
        <w:t xml:space="preserve"> покинуту в лікувальному закладі дитину</w:t>
      </w:r>
      <w:r>
        <w:rPr>
          <w:sz w:val="28"/>
          <w:szCs w:val="28"/>
          <w:lang w:val="uk-UA"/>
        </w:rPr>
        <w:t>)</w:t>
      </w:r>
      <w:r w:rsidRPr="009C5286">
        <w:rPr>
          <w:sz w:val="28"/>
          <w:szCs w:val="28"/>
          <w:lang w:val="uk-UA"/>
        </w:rPr>
        <w:t xml:space="preserve">. </w:t>
      </w:r>
    </w:p>
    <w:p w:rsidR="0020512C" w:rsidRDefault="0020512C" w:rsidP="007B5FC8">
      <w:pPr>
        <w:pStyle w:val="af1"/>
        <w:ind w:left="0" w:firstLine="709"/>
        <w:jc w:val="both"/>
        <w:rPr>
          <w:sz w:val="28"/>
          <w:szCs w:val="28"/>
          <w:lang w:val="uk-UA"/>
        </w:rPr>
      </w:pPr>
      <w:r w:rsidRPr="0020512C">
        <w:rPr>
          <w:sz w:val="28"/>
          <w:szCs w:val="28"/>
        </w:rPr>
        <w:t xml:space="preserve">За цей же період знято з обліку 62 дітей, з них 29 досягли повноліття, 5 дітей усиновлено, зникли підстави перебування на обліку </w:t>
      </w:r>
      <w:r>
        <w:rPr>
          <w:sz w:val="28"/>
          <w:szCs w:val="28"/>
          <w:lang w:val="uk-UA"/>
        </w:rPr>
        <w:t xml:space="preserve">у </w:t>
      </w:r>
      <w:r w:rsidRPr="0020512C">
        <w:rPr>
          <w:sz w:val="28"/>
          <w:szCs w:val="28"/>
        </w:rPr>
        <w:t>25 дітей, трьох дітей передано на виховання батькам.</w:t>
      </w:r>
    </w:p>
    <w:p w:rsidR="0020512C" w:rsidRPr="0020512C" w:rsidRDefault="0020512C" w:rsidP="007B5FC8">
      <w:pPr>
        <w:pStyle w:val="af1"/>
        <w:ind w:left="0" w:firstLine="709"/>
        <w:jc w:val="both"/>
        <w:rPr>
          <w:sz w:val="28"/>
          <w:szCs w:val="28"/>
          <w:highlight w:val="yellow"/>
          <w:lang w:val="uk-UA"/>
        </w:rPr>
      </w:pPr>
      <w:r w:rsidRPr="0020512C">
        <w:rPr>
          <w:sz w:val="28"/>
          <w:szCs w:val="28"/>
        </w:rPr>
        <w:t xml:space="preserve">Впродовж року відвідано 402 сім’ї, що мають на утриманні 515 дітей та потрапили в поле зору соціальних служб. Під час обстежень умов проживання дітей надається інформаційна, правова та матеріальна допомога у подоланні складних життєвих обставин, які склалися в їх сім’ях, в тому числі повернення дітей до навчальних закладів, виявлення дітей, з якими жорстоко поводяться батьки чи дорослі, надання допомоги батькам у працевлаштуванні. </w:t>
      </w:r>
    </w:p>
    <w:p w:rsidR="0020512C" w:rsidRDefault="0020512C" w:rsidP="007B5FC8">
      <w:pPr>
        <w:tabs>
          <w:tab w:val="num" w:pos="0"/>
          <w:tab w:val="left" w:pos="1418"/>
        </w:tabs>
        <w:ind w:firstLine="709"/>
        <w:jc w:val="both"/>
        <w:rPr>
          <w:highlight w:val="yellow"/>
          <w:lang w:val="uk-UA"/>
        </w:rPr>
      </w:pPr>
      <w:r w:rsidRPr="009C5286">
        <w:rPr>
          <w:lang w:val="uk-UA"/>
        </w:rPr>
        <w:t xml:space="preserve">Службою у справах дітей впродовж 2019 року подано до суду 4 позови органу опіки та піклування про позбавлення батьків батьківських прав відносно 5 дітей, та 2 позови про відібрання дітей від батьків без позбавлення їх батьківських прав стосовно 5 дітей. </w:t>
      </w:r>
      <w:r>
        <w:t xml:space="preserve">На постійному контролі в службі </w:t>
      </w:r>
      <w:proofErr w:type="gramStart"/>
      <w:r>
        <w:t>у справах</w:t>
      </w:r>
      <w:proofErr w:type="gramEnd"/>
      <w:r>
        <w:t xml:space="preserve"> дітей перебуває питання жорстокого поводження з дітьми та попередження насильства в сім’ї. За звітний період до служби надійшло 32 повідомлення щодо жорстокого поводження з дітьми або загрози його вчинення. Спеціалістами служби проведено відповідну роботу з батьками дітей, попереджено про відповідальність та повідомлено правоохоронні органи, одне з них знайшло своє підтвердження, дитину взято на облік.</w:t>
      </w:r>
    </w:p>
    <w:p w:rsidR="00CE2847" w:rsidRDefault="00CE2847" w:rsidP="007B5FC8">
      <w:pPr>
        <w:ind w:right="60" w:firstLine="851"/>
        <w:jc w:val="both"/>
        <w:rPr>
          <w:lang w:val="uk-UA"/>
        </w:rPr>
      </w:pPr>
      <w:r w:rsidRPr="009C5286">
        <w:rPr>
          <w:lang w:val="uk-UA"/>
        </w:rPr>
        <w:t xml:space="preserve">Виявлення, оцінка потреб, надання соціальних послуг та здійснення соціального супроводу сімей з дітьми, які перебувають у складних життєвих обставинах, здійснюється в рамках діяльності </w:t>
      </w:r>
      <w:r w:rsidR="009B13F9">
        <w:rPr>
          <w:lang w:val="uk-UA"/>
        </w:rPr>
        <w:t>"</w:t>
      </w:r>
      <w:r w:rsidRPr="009C5286">
        <w:rPr>
          <w:lang w:val="uk-UA"/>
        </w:rPr>
        <w:t>Служби соціальної підтримки сімей</w:t>
      </w:r>
      <w:r w:rsidR="009B13F9">
        <w:rPr>
          <w:lang w:val="uk-UA"/>
        </w:rPr>
        <w:t>"</w:t>
      </w:r>
      <w:r w:rsidRPr="009C5286">
        <w:rPr>
          <w:lang w:val="uk-UA"/>
        </w:rPr>
        <w:t xml:space="preserve">. </w:t>
      </w:r>
    </w:p>
    <w:p w:rsidR="00CE2847" w:rsidRDefault="00CE2847" w:rsidP="007B5FC8">
      <w:pPr>
        <w:ind w:right="60" w:firstLine="851"/>
        <w:jc w:val="both"/>
        <w:rPr>
          <w:lang w:val="uk-UA"/>
        </w:rPr>
      </w:pPr>
      <w:r>
        <w:t xml:space="preserve">Впродовж 2019 року соціальними послугами охоплено 1604 сім’ї та осіб, з яких 896 сімей та особи перебувають в складних життєвих обставинах. Під соціальним супроводом перебувало 26 осіб та 166 сімей, в яких виховується 310 дітей. У зв’язку із подоланням родинами складних життєвих обставин завершено соціальний супровід 82 сімей та 9 осіб. </w:t>
      </w:r>
    </w:p>
    <w:p w:rsidR="00CE2847" w:rsidRDefault="009F2324" w:rsidP="007B5FC8">
      <w:pPr>
        <w:ind w:right="60" w:firstLine="851"/>
        <w:jc w:val="both"/>
        <w:rPr>
          <w:lang w:val="uk-UA"/>
        </w:rPr>
      </w:pPr>
      <w:r>
        <w:rPr>
          <w:lang w:val="uk-UA"/>
        </w:rPr>
        <w:t>У</w:t>
      </w:r>
      <w:r w:rsidR="00CE2847" w:rsidRPr="009C5286">
        <w:rPr>
          <w:lang w:val="uk-UA"/>
        </w:rPr>
        <w:t xml:space="preserve"> ході соціального супроводу покращено взаємостосунки у родинах; підвищено рівень виховного потенціалу батьків; сформовано навики розподілу власного бюджету та заощадження коштів; ведення господарства та покращення санітарно-гігієнічних умов проживання; надано інформаційні </w:t>
      </w:r>
      <w:r w:rsidR="00CE2847" w:rsidRPr="009C5286">
        <w:rPr>
          <w:lang w:val="uk-UA"/>
        </w:rPr>
        <w:lastRenderedPageBreak/>
        <w:t xml:space="preserve">послуги щодо працевлаштування членів родин, отриманні субсидій та пільг, отриманні медичної допомоги; покращенні матеріального стану родин; здійснено сприяння в оформленні державних соціальних допомог. </w:t>
      </w:r>
    </w:p>
    <w:p w:rsidR="00CE2847" w:rsidRDefault="00CE2847" w:rsidP="007B5FC8">
      <w:pPr>
        <w:ind w:right="60" w:firstLine="851"/>
        <w:jc w:val="both"/>
        <w:rPr>
          <w:highlight w:val="yellow"/>
          <w:lang w:val="uk-UA"/>
        </w:rPr>
      </w:pPr>
      <w:r>
        <w:t>Постійно проводиться робота щодо запобігання домашньому насильству, бесіди щодо популяризації здорового способу життя та профілактики негативних явищ. Здійснювалась індивідуальна соціальна робота згідно плану реабілітації з однією особою, яка має статус постраждалої від торгівлі людьми. П’ятдесят одній сім’ї та трьом особам вимушених переселенців з окупованих територій та АР Крим впродовж звітного періоду фахівці із соціальної роботи надавали соціальні послуги.</w:t>
      </w:r>
    </w:p>
    <w:p w:rsidR="00CE2847" w:rsidRDefault="00CE2847" w:rsidP="00CE2847">
      <w:pPr>
        <w:ind w:right="60" w:firstLine="708"/>
        <w:jc w:val="both"/>
        <w:rPr>
          <w:lang w:val="uk-UA"/>
        </w:rPr>
      </w:pPr>
      <w:r w:rsidRPr="009C5286">
        <w:rPr>
          <w:lang w:val="uk-UA"/>
        </w:rPr>
        <w:t xml:space="preserve">МЦСССДМ забезпечено соціальний супровід 12 прийомних сімей, в яких виховується 18 дітей (в т. ч. 2 сім'ї вимушених переселенців) та дитячого будинку сімейного типу з числа внутрішньо переміщених осіб, в якому виховується 8 дітей, з яких 5 внутрішньо переміщених. Здійснювалася робота з вдосконалення взаємодії прийомних дітей та прийомних батьків, підтримання взаємостосунків прийомних дітей з біологічними родичами (контакти по телефону з братами та сестрами, зустрічі з родичами), адаптації дітей до навчання в нових професійно-технічних закладах, залучення прийомних дітей до заходів змістовного дозвілля. </w:t>
      </w:r>
    </w:p>
    <w:p w:rsidR="00CE2847" w:rsidRDefault="00CE2847" w:rsidP="00CE2847">
      <w:pPr>
        <w:ind w:right="60" w:firstLine="708"/>
        <w:jc w:val="both"/>
        <w:rPr>
          <w:lang w:val="uk-UA"/>
        </w:rPr>
      </w:pPr>
      <w:r w:rsidRPr="009C5286">
        <w:rPr>
          <w:lang w:val="uk-UA"/>
        </w:rPr>
        <w:t xml:space="preserve">Проведено кампанії по збору коштів для реабілітації дитини з інвалідністю з прийомної сім’ї та лікування онкохворої дитини. </w:t>
      </w:r>
      <w:r>
        <w:t>Проведено співбесіди та анкетування з трьома сім’ями кандидатів в прийомні батьки. Дві сім’ї скеровано на навчання.</w:t>
      </w:r>
    </w:p>
    <w:p w:rsidR="00CE2847" w:rsidRPr="00B90D95" w:rsidRDefault="00FA4623" w:rsidP="00CE2847">
      <w:pPr>
        <w:ind w:right="60" w:firstLine="708"/>
        <w:jc w:val="both"/>
        <w:rPr>
          <w:highlight w:val="yellow"/>
          <w:lang w:val="uk-UA"/>
        </w:rPr>
      </w:pPr>
      <w:r>
        <w:rPr>
          <w:lang w:val="uk-UA"/>
        </w:rPr>
        <w:t>У</w:t>
      </w:r>
      <w:r w:rsidR="00CE2847">
        <w:rPr>
          <w:lang w:val="uk-UA"/>
        </w:rPr>
        <w:t xml:space="preserve"> </w:t>
      </w:r>
      <w:r w:rsidR="00CE2847" w:rsidRPr="00FA4623">
        <w:rPr>
          <w:lang w:val="uk-UA"/>
        </w:rPr>
        <w:t>Центр</w:t>
      </w:r>
      <w:r w:rsidR="00CE2847">
        <w:rPr>
          <w:lang w:val="uk-UA"/>
        </w:rPr>
        <w:t>і</w:t>
      </w:r>
      <w:r w:rsidR="00CE2847" w:rsidRPr="00FA4623">
        <w:rPr>
          <w:lang w:val="uk-UA"/>
        </w:rPr>
        <w:t xml:space="preserve"> соціально-психологічної реабілітації дітей та молоді з функціональними обмеженнями "Дивосвіт"</w:t>
      </w:r>
      <w:r w:rsidR="00CE2847">
        <w:rPr>
          <w:lang w:val="uk-UA"/>
        </w:rPr>
        <w:t xml:space="preserve"> </w:t>
      </w:r>
      <w:r w:rsidR="00CE2847" w:rsidRPr="00FA4623">
        <w:rPr>
          <w:lang w:val="uk-UA"/>
        </w:rPr>
        <w:t>для 35-ти молодих осіб, що знаходяться на денному перебуванні та 12 учасників групи взаємодопомоги, розроблені індивідуальні плани реабілітації у відповідності до рекомендацій МСЕКу.</w:t>
      </w:r>
      <w:r w:rsidR="006C604C">
        <w:rPr>
          <w:lang w:val="uk-UA"/>
        </w:rPr>
        <w:t xml:space="preserve"> </w:t>
      </w:r>
      <w:r w:rsidR="006C604C" w:rsidRPr="009C5286">
        <w:rPr>
          <w:lang w:val="uk-UA"/>
        </w:rPr>
        <w:t xml:space="preserve">Діти та молодь забезпечуються щоденним одноразовим харчуванням. </w:t>
      </w:r>
      <w:r>
        <w:rPr>
          <w:lang w:val="uk-UA"/>
        </w:rPr>
        <w:t>У</w:t>
      </w:r>
      <w:r w:rsidR="006C604C" w:rsidRPr="009C5286">
        <w:rPr>
          <w:lang w:val="uk-UA"/>
        </w:rPr>
        <w:t xml:space="preserve"> ході соціально-психологічної реабілітації з метою розвитку комунікативних та емпатійних вмінь та навичок, правової самосвідомості, формування адекватної самооцінки, соціальні педагоги та психолог проводять розвиваючі заняття, бесіди, тренінги, майстер класи.</w:t>
      </w:r>
      <w:r w:rsidR="00B90D95">
        <w:rPr>
          <w:lang w:val="uk-UA"/>
        </w:rPr>
        <w:t xml:space="preserve"> </w:t>
      </w:r>
      <w:r w:rsidR="00B90D95">
        <w:t>Всього за 2019 рік відвідувачам та батькам Центру "Дивосвіт" надано 3101 індивідуальну послугу, в т.ч. 1334 соціально – педагогічних послуг; 612 соціально-психологічних послуг; 725 соціально – медичних послуг; 430 інформаційних послуг.</w:t>
      </w:r>
    </w:p>
    <w:p w:rsidR="007B5FC8" w:rsidRPr="007B5FC8" w:rsidRDefault="007B5FC8" w:rsidP="007B5FC8">
      <w:pPr>
        <w:tabs>
          <w:tab w:val="left" w:pos="709"/>
          <w:tab w:val="left" w:pos="1560"/>
        </w:tabs>
        <w:ind w:right="60" w:firstLine="360"/>
        <w:jc w:val="both"/>
        <w:rPr>
          <w:highlight w:val="yellow"/>
          <w:lang w:val="uk-UA"/>
        </w:rPr>
      </w:pPr>
    </w:p>
    <w:p w:rsidR="007B5FC8" w:rsidRPr="007D5072" w:rsidRDefault="00FA4623" w:rsidP="007B5FC8">
      <w:pPr>
        <w:pStyle w:val="a7"/>
        <w:numPr>
          <w:ilvl w:val="1"/>
          <w:numId w:val="13"/>
        </w:numPr>
        <w:tabs>
          <w:tab w:val="left" w:pos="709"/>
        </w:tabs>
        <w:spacing w:after="0"/>
        <w:ind w:left="1134"/>
        <w:jc w:val="both"/>
        <w:outlineLvl w:val="0"/>
        <w:rPr>
          <w:i/>
          <w:sz w:val="28"/>
          <w:szCs w:val="28"/>
          <w:lang w:val="uk-UA"/>
        </w:rPr>
      </w:pPr>
      <w:r>
        <w:rPr>
          <w:i/>
          <w:sz w:val="28"/>
          <w:szCs w:val="28"/>
          <w:lang w:val="uk-UA"/>
        </w:rPr>
        <w:t xml:space="preserve">. </w:t>
      </w:r>
      <w:r w:rsidR="007B5FC8" w:rsidRPr="007D5072">
        <w:rPr>
          <w:i/>
          <w:sz w:val="28"/>
          <w:szCs w:val="28"/>
          <w:lang w:val="uk-UA"/>
        </w:rPr>
        <w:t>Культура</w:t>
      </w:r>
    </w:p>
    <w:p w:rsidR="000601B9" w:rsidRDefault="000601B9" w:rsidP="007B5FC8">
      <w:pPr>
        <w:ind w:firstLine="567"/>
        <w:jc w:val="both"/>
        <w:rPr>
          <w:lang w:val="uk-UA"/>
        </w:rPr>
      </w:pPr>
      <w:r w:rsidRPr="009C5286">
        <w:rPr>
          <w:lang w:val="uk-UA"/>
        </w:rPr>
        <w:t xml:space="preserve">Впродовж 2019 року </w:t>
      </w:r>
      <w:r>
        <w:rPr>
          <w:lang w:val="uk-UA"/>
        </w:rPr>
        <w:t xml:space="preserve">у </w:t>
      </w:r>
      <w:r w:rsidRPr="009C5286">
        <w:rPr>
          <w:lang w:val="uk-UA"/>
        </w:rPr>
        <w:t>міст</w:t>
      </w:r>
      <w:r>
        <w:rPr>
          <w:lang w:val="uk-UA"/>
        </w:rPr>
        <w:t>ф</w:t>
      </w:r>
      <w:r w:rsidRPr="009C5286">
        <w:rPr>
          <w:lang w:val="uk-UA"/>
        </w:rPr>
        <w:t xml:space="preserve"> проводилися інформаційно-просвітницькі та мистецькі заходи, спрямовані на утвердження патріотизму, духовності і моральності, формування національної свідомості населення шляхом відзначення державних свят, знаменних та пам’ятних дат з історії України</w:t>
      </w:r>
      <w:r>
        <w:rPr>
          <w:lang w:val="uk-UA"/>
        </w:rPr>
        <w:t xml:space="preserve">. Так, зокрема,  </w:t>
      </w:r>
      <w:r>
        <w:t xml:space="preserve">закладами культури клубного типу було проведено 1096 культурно-масових заходів, на яких було присутніх </w:t>
      </w:r>
      <w:r>
        <w:rPr>
          <w:lang w:val="uk-UA"/>
        </w:rPr>
        <w:t xml:space="preserve">близько </w:t>
      </w:r>
      <w:r>
        <w:t>19</w:t>
      </w:r>
      <w:r>
        <w:rPr>
          <w:lang w:val="uk-UA"/>
        </w:rPr>
        <w:t>7 тисяч</w:t>
      </w:r>
      <w:r>
        <w:t xml:space="preserve"> глядачі</w:t>
      </w:r>
      <w:r>
        <w:rPr>
          <w:lang w:val="uk-UA"/>
        </w:rPr>
        <w:t>в</w:t>
      </w:r>
      <w:r>
        <w:t>, з них – 492 заходи для дітей</w:t>
      </w:r>
      <w:r>
        <w:rPr>
          <w:lang w:val="uk-UA"/>
        </w:rPr>
        <w:t xml:space="preserve">, де були присутніми </w:t>
      </w:r>
      <w:r>
        <w:t xml:space="preserve"> 54</w:t>
      </w:r>
      <w:r>
        <w:rPr>
          <w:lang w:val="uk-UA"/>
        </w:rPr>
        <w:t xml:space="preserve"> тисячі </w:t>
      </w:r>
      <w:r>
        <w:t xml:space="preserve">глядачів. </w:t>
      </w:r>
      <w:r>
        <w:lastRenderedPageBreak/>
        <w:t>Загалом у 2019 році проведено на 238 заходів більше, ніж у 2018 р</w:t>
      </w:r>
      <w:r>
        <w:rPr>
          <w:lang w:val="uk-UA"/>
        </w:rPr>
        <w:t>оці</w:t>
      </w:r>
      <w:r>
        <w:t xml:space="preserve"> (858 заходів)</w:t>
      </w:r>
      <w:r>
        <w:rPr>
          <w:lang w:val="uk-UA"/>
        </w:rPr>
        <w:t>.</w:t>
      </w:r>
    </w:p>
    <w:p w:rsidR="000601B9" w:rsidRDefault="000601B9" w:rsidP="007B5FC8">
      <w:pPr>
        <w:ind w:firstLine="567"/>
        <w:jc w:val="both"/>
        <w:rPr>
          <w:lang w:val="uk-UA"/>
        </w:rPr>
      </w:pPr>
      <w:r>
        <w:rPr>
          <w:lang w:val="uk-UA"/>
        </w:rPr>
        <w:t xml:space="preserve">За </w:t>
      </w:r>
      <w:r>
        <w:t>дан</w:t>
      </w:r>
      <w:r>
        <w:rPr>
          <w:lang w:val="uk-UA"/>
        </w:rPr>
        <w:t xml:space="preserve">ий </w:t>
      </w:r>
      <w:r>
        <w:t xml:space="preserve">період було проведено цілий ряд фестивалів: </w:t>
      </w:r>
    </w:p>
    <w:p w:rsidR="000601B9" w:rsidRDefault="000601B9" w:rsidP="007B5FC8">
      <w:pPr>
        <w:ind w:firstLine="567"/>
        <w:jc w:val="both"/>
        <w:rPr>
          <w:lang w:val="uk-UA"/>
        </w:rPr>
      </w:pPr>
      <w:r>
        <w:sym w:font="Symbol" w:char="F02D"/>
      </w:r>
      <w:r>
        <w:t xml:space="preserve"> Міжнародний Різдвяний фестиваль </w:t>
      </w:r>
      <w:r w:rsidR="00D24A0C">
        <w:t>"</w:t>
      </w:r>
      <w:r>
        <w:t>Коляда на Майзлях</w:t>
      </w:r>
      <w:r w:rsidR="00D24A0C">
        <w:t>"</w:t>
      </w:r>
      <w:r>
        <w:t>;</w:t>
      </w:r>
    </w:p>
    <w:p w:rsidR="007D5072" w:rsidRDefault="007D5072" w:rsidP="007B5FC8">
      <w:pPr>
        <w:ind w:firstLine="567"/>
        <w:jc w:val="both"/>
        <w:rPr>
          <w:lang w:val="uk-UA"/>
        </w:rPr>
      </w:pPr>
      <w:r>
        <w:sym w:font="Symbol" w:char="F02D"/>
      </w:r>
      <w:r>
        <w:t xml:space="preserve"> мистецький різдвяний фестиваль </w:t>
      </w:r>
      <w:r w:rsidR="00D24A0C">
        <w:t>"</w:t>
      </w:r>
      <w:r>
        <w:t>Різдво у Франківську</w:t>
      </w:r>
      <w:r w:rsidR="00D24A0C">
        <w:t>"</w:t>
      </w:r>
      <w:r>
        <w:t>;</w:t>
      </w:r>
    </w:p>
    <w:p w:rsidR="007D5072" w:rsidRDefault="007D5072" w:rsidP="007B5FC8">
      <w:pPr>
        <w:ind w:firstLine="567"/>
        <w:jc w:val="both"/>
        <w:rPr>
          <w:lang w:val="uk-UA"/>
        </w:rPr>
      </w:pPr>
      <w:r>
        <w:t xml:space="preserve"> </w:t>
      </w:r>
      <w:r>
        <w:sym w:font="Symbol" w:char="F02D"/>
      </w:r>
      <w:r>
        <w:t xml:space="preserve"> різдвяна програма </w:t>
      </w:r>
      <w:r w:rsidR="00D24A0C">
        <w:t>"</w:t>
      </w:r>
      <w:r>
        <w:t>Від Василя до Василя</w:t>
      </w:r>
      <w:r w:rsidR="00D24A0C">
        <w:t>"</w:t>
      </w:r>
      <w:r>
        <w:t>;</w:t>
      </w:r>
    </w:p>
    <w:p w:rsidR="007D5072" w:rsidRDefault="007D5072" w:rsidP="007B5FC8">
      <w:pPr>
        <w:ind w:firstLine="567"/>
        <w:jc w:val="both"/>
        <w:rPr>
          <w:lang w:val="uk-UA"/>
        </w:rPr>
      </w:pPr>
      <w:r>
        <w:sym w:font="Symbol" w:char="F02D"/>
      </w:r>
      <w:r>
        <w:t xml:space="preserve"> фестиваль </w:t>
      </w:r>
      <w:r w:rsidR="00D24A0C">
        <w:t>"</w:t>
      </w:r>
      <w:r>
        <w:t>Новорічні витребеньки</w:t>
      </w:r>
      <w:r w:rsidR="00D24A0C">
        <w:t>"</w:t>
      </w:r>
      <w:r>
        <w:t>;</w:t>
      </w:r>
    </w:p>
    <w:p w:rsidR="007D5072" w:rsidRDefault="007D5072" w:rsidP="007B5FC8">
      <w:pPr>
        <w:ind w:firstLine="567"/>
        <w:jc w:val="both"/>
        <w:rPr>
          <w:lang w:val="uk-UA"/>
        </w:rPr>
      </w:pPr>
      <w:r>
        <w:t xml:space="preserve"> </w:t>
      </w:r>
      <w:r>
        <w:sym w:font="Symbol" w:char="F02D"/>
      </w:r>
      <w:r>
        <w:t xml:space="preserve"> фестиваль гумору </w:t>
      </w:r>
      <w:r w:rsidR="00D24A0C">
        <w:t>"</w:t>
      </w:r>
      <w:r>
        <w:t>Фіглі-міглі</w:t>
      </w:r>
      <w:r w:rsidR="00D24A0C">
        <w:t>"</w:t>
      </w:r>
      <w:r>
        <w:t xml:space="preserve"> на Кубок міського голови; </w:t>
      </w:r>
    </w:p>
    <w:p w:rsidR="007D5072" w:rsidRDefault="007D5072" w:rsidP="007B5FC8">
      <w:pPr>
        <w:ind w:firstLine="567"/>
        <w:jc w:val="both"/>
        <w:rPr>
          <w:lang w:val="uk-UA"/>
        </w:rPr>
      </w:pPr>
      <w:r>
        <w:sym w:font="Symbol" w:char="F02D"/>
      </w:r>
      <w:r>
        <w:t xml:space="preserve"> фестиваль духовної та естрадної пісні </w:t>
      </w:r>
      <w:r w:rsidR="00D24A0C">
        <w:t>"</w:t>
      </w:r>
      <w:r>
        <w:t>Великодні дзвони</w:t>
      </w:r>
      <w:r w:rsidR="00D24A0C">
        <w:t>"</w:t>
      </w:r>
      <w:r>
        <w:t xml:space="preserve">; </w:t>
      </w:r>
    </w:p>
    <w:p w:rsidR="007D5072" w:rsidRDefault="007D5072" w:rsidP="007B5FC8">
      <w:pPr>
        <w:ind w:firstLine="567"/>
        <w:jc w:val="both"/>
        <w:rPr>
          <w:lang w:val="uk-UA"/>
        </w:rPr>
      </w:pPr>
      <w:r>
        <w:sym w:font="Symbol" w:char="F02D"/>
      </w:r>
      <w:r>
        <w:t xml:space="preserve"> </w:t>
      </w:r>
      <w:r w:rsidR="009A783B">
        <w:rPr>
          <w:lang w:val="uk-UA"/>
        </w:rPr>
        <w:t>м</w:t>
      </w:r>
      <w:r>
        <w:t xml:space="preserve">іжнародний мистецький фестиваль країн Карпатського регіону </w:t>
      </w:r>
      <w:r w:rsidR="00D24A0C">
        <w:t>"</w:t>
      </w:r>
      <w:r>
        <w:t>Карпатський простір</w:t>
      </w:r>
      <w:r w:rsidR="00D24A0C">
        <w:t>"</w:t>
      </w:r>
      <w:r>
        <w:t>;</w:t>
      </w:r>
    </w:p>
    <w:p w:rsidR="007D5072" w:rsidRDefault="007D5072" w:rsidP="007B5FC8">
      <w:pPr>
        <w:ind w:firstLine="567"/>
        <w:jc w:val="both"/>
        <w:rPr>
          <w:lang w:val="uk-UA"/>
        </w:rPr>
      </w:pPr>
      <w:r>
        <w:sym w:font="Symbol" w:char="F02D"/>
      </w:r>
      <w:r>
        <w:t xml:space="preserve"> </w:t>
      </w:r>
      <w:r w:rsidR="009A783B">
        <w:rPr>
          <w:lang w:val="uk-UA"/>
        </w:rPr>
        <w:t>в</w:t>
      </w:r>
      <w:r>
        <w:t xml:space="preserve">еликодній фестиваль хорової музики </w:t>
      </w:r>
      <w:r w:rsidR="00D24A0C">
        <w:t>"</w:t>
      </w:r>
      <w:r>
        <w:t>Катедральні дзвони</w:t>
      </w:r>
      <w:r w:rsidR="00D24A0C">
        <w:t>"</w:t>
      </w:r>
      <w:r>
        <w:t xml:space="preserve">; </w:t>
      </w:r>
    </w:p>
    <w:p w:rsidR="007D5072" w:rsidRDefault="007D5072" w:rsidP="007B5FC8">
      <w:pPr>
        <w:ind w:firstLine="567"/>
        <w:jc w:val="both"/>
        <w:rPr>
          <w:lang w:val="uk-UA"/>
        </w:rPr>
      </w:pPr>
      <w:r>
        <w:sym w:font="Symbol" w:char="F02D"/>
      </w:r>
      <w:r>
        <w:t xml:space="preserve"> фестиваль </w:t>
      </w:r>
      <w:r w:rsidR="00D24A0C">
        <w:t>"</w:t>
      </w:r>
      <w:r>
        <w:t>Івано-Франківськ – місто для життя</w:t>
      </w:r>
      <w:r w:rsidR="00D24A0C">
        <w:t>"</w:t>
      </w:r>
      <w:r>
        <w:t>;</w:t>
      </w:r>
    </w:p>
    <w:p w:rsidR="007D5072" w:rsidRPr="007D5072" w:rsidRDefault="007D5072" w:rsidP="007B5FC8">
      <w:pPr>
        <w:ind w:firstLine="567"/>
        <w:jc w:val="both"/>
        <w:rPr>
          <w:lang w:val="uk-UA"/>
        </w:rPr>
      </w:pPr>
      <w:r>
        <w:sym w:font="Symbol" w:char="F02D"/>
      </w:r>
      <w:r>
        <w:t xml:space="preserve"> </w:t>
      </w:r>
      <w:r w:rsidR="0026782E">
        <w:rPr>
          <w:lang w:val="uk-UA"/>
        </w:rPr>
        <w:t>м</w:t>
      </w:r>
      <w:r>
        <w:t xml:space="preserve">іжнародний фестиваль-ярмарок </w:t>
      </w:r>
      <w:r w:rsidR="00D24A0C">
        <w:t>"</w:t>
      </w:r>
      <w:r>
        <w:t>Меди Прикарпаття</w:t>
      </w:r>
      <w:r w:rsidR="00D24A0C">
        <w:t>"</w:t>
      </w:r>
      <w:r>
        <w:t>;</w:t>
      </w:r>
    </w:p>
    <w:p w:rsidR="007D5072" w:rsidRDefault="007D5072" w:rsidP="007B5FC8">
      <w:pPr>
        <w:ind w:firstLine="567"/>
        <w:jc w:val="both"/>
        <w:rPr>
          <w:lang w:val="uk-UA"/>
        </w:rPr>
      </w:pPr>
      <w:r>
        <w:t xml:space="preserve"> </w:t>
      </w:r>
      <w:r>
        <w:sym w:font="Symbol" w:char="F02D"/>
      </w:r>
      <w:r>
        <w:t xml:space="preserve"> міський фестиваль мистецтв </w:t>
      </w:r>
      <w:r w:rsidR="00D24A0C">
        <w:t>"</w:t>
      </w:r>
      <w:r>
        <w:t>Мелодії парку</w:t>
      </w:r>
      <w:r w:rsidR="00D24A0C">
        <w:t>"</w:t>
      </w:r>
      <w:r>
        <w:rPr>
          <w:lang w:val="uk-UA"/>
        </w:rPr>
        <w:t>, тощо.</w:t>
      </w:r>
      <w:r>
        <w:t xml:space="preserve"> </w:t>
      </w:r>
    </w:p>
    <w:p w:rsidR="007D5072" w:rsidRDefault="007D5072" w:rsidP="007B5FC8">
      <w:pPr>
        <w:ind w:firstLine="567"/>
        <w:jc w:val="both"/>
        <w:rPr>
          <w:lang w:val="uk-UA"/>
        </w:rPr>
      </w:pPr>
      <w:r>
        <w:t xml:space="preserve">У 2019 році жителі та гості Івано-Франківська отримували незабутні мистецькі подарунки. Подарунком для жителів та гостей Івано-Франківська був святковий концерт </w:t>
      </w:r>
      <w:proofErr w:type="gramStart"/>
      <w:r>
        <w:t>у рамках</w:t>
      </w:r>
      <w:proofErr w:type="gramEnd"/>
      <w:r>
        <w:t xml:space="preserve"> Х Між</w:t>
      </w:r>
      <w:r w:rsidR="003A35B1">
        <w:t xml:space="preserve">народного Різдвяного фестивалю </w:t>
      </w:r>
      <w:r w:rsidR="003A35B1">
        <w:rPr>
          <w:lang w:val="uk-UA"/>
        </w:rPr>
        <w:t>"</w:t>
      </w:r>
      <w:r>
        <w:t>Коляда на Майзлях</w:t>
      </w:r>
      <w:r w:rsidR="003A35B1">
        <w:rPr>
          <w:lang w:val="uk-UA"/>
        </w:rPr>
        <w:t>"</w:t>
      </w:r>
      <w:r>
        <w:t xml:space="preserve"> за участю народної артистки України Ніни Матвієнко та Муніципальної академічної чоловічої хорової капели ім. Левка Ревуцького (м. Київ). У</w:t>
      </w:r>
      <w:r w:rsidR="003A35B1">
        <w:t xml:space="preserve"> фестивалі </w:t>
      </w:r>
      <w:r>
        <w:t>взяли участь 35 професійних та аматорських хорових, фольклорних і музичних колективів з України, Польщі і Молдови, які виконали понад півтори сотні колядок і щедрівок. Знаменн</w:t>
      </w:r>
      <w:r>
        <w:rPr>
          <w:lang w:val="uk-UA"/>
        </w:rPr>
        <w:t>им</w:t>
      </w:r>
      <w:r>
        <w:t xml:space="preserve"> </w:t>
      </w:r>
      <w:r>
        <w:rPr>
          <w:lang w:val="uk-UA"/>
        </w:rPr>
        <w:t xml:space="preserve">є </w:t>
      </w:r>
      <w:r w:rsidR="003A35B1">
        <w:t xml:space="preserve">те, що </w:t>
      </w:r>
      <w:r w:rsidR="003A35B1">
        <w:rPr>
          <w:lang w:val="uk-UA"/>
        </w:rPr>
        <w:t>цей</w:t>
      </w:r>
      <w:r w:rsidR="003A35B1">
        <w:t xml:space="preserve"> фестиваль</w:t>
      </w:r>
      <w:r w:rsidR="003A35B1">
        <w:rPr>
          <w:lang w:val="uk-UA"/>
        </w:rPr>
        <w:t xml:space="preserve"> </w:t>
      </w:r>
      <w:r>
        <w:t xml:space="preserve">отримав благословення від Блаженнішого Святослав (Шевчука) Глави і Отця УГКЦ. </w:t>
      </w:r>
    </w:p>
    <w:p w:rsidR="007D5072" w:rsidRDefault="007D5072" w:rsidP="007B5FC8">
      <w:pPr>
        <w:ind w:firstLine="567"/>
        <w:jc w:val="both"/>
        <w:rPr>
          <w:lang w:val="uk-UA"/>
        </w:rPr>
      </w:pPr>
      <w:r w:rsidRPr="00C93312">
        <w:rPr>
          <w:lang w:val="uk-UA"/>
        </w:rPr>
        <w:t>З особливою шаною в цьому році було відзначено 20</w:t>
      </w:r>
      <w:r w:rsidR="00C93312" w:rsidRPr="00C93312">
        <w:rPr>
          <w:lang w:val="uk-UA"/>
        </w:rPr>
        <w:t>5 річницю від дня народження Т.Г.</w:t>
      </w:r>
      <w:r w:rsidRPr="00C93312">
        <w:rPr>
          <w:lang w:val="uk-UA"/>
        </w:rPr>
        <w:t>Шевченка. В закладах культури проводились тематичні концерти, літературні вечори, літературно-музичні композиції, виставки творчих робіт, поетичні години, літературні читання, лекції-концерти</w:t>
      </w:r>
      <w:r>
        <w:rPr>
          <w:lang w:val="uk-UA"/>
        </w:rPr>
        <w:t>.</w:t>
      </w:r>
    </w:p>
    <w:p w:rsidR="007D5072" w:rsidRPr="007D5072" w:rsidRDefault="007D5072" w:rsidP="007B5FC8">
      <w:pPr>
        <w:ind w:firstLine="567"/>
        <w:jc w:val="both"/>
        <w:rPr>
          <w:lang w:val="uk-UA"/>
        </w:rPr>
      </w:pPr>
      <w:r>
        <w:t xml:space="preserve">В 2019 році в </w:t>
      </w:r>
      <w:r w:rsidR="00C93312">
        <w:rPr>
          <w:lang w:val="uk-UA"/>
        </w:rPr>
        <w:t>н</w:t>
      </w:r>
      <w:r>
        <w:t xml:space="preserve">ародних домах міста та сіл Івано-Франківської міської ради функціонували 120 різножанрових мистецьких колективів, в яких брали участь 1827 аматорів сцени, з них – 42 дитячі колективи, в яких займались 589 дітей різного віку. За звітний період силами мистецьких колективів було проведено 232 концерти, на яких було присутніх 63060 глядачів, з них – 108 дитячих, які переглянули 21970 осіб. В числі всіх творчих колективів 33 носять почесне звання </w:t>
      </w:r>
      <w:r w:rsidR="003A35B1">
        <w:rPr>
          <w:lang w:val="uk-UA"/>
        </w:rPr>
        <w:t>"На</w:t>
      </w:r>
      <w:r>
        <w:t>родний аматорський</w:t>
      </w:r>
      <w:r w:rsidR="003A35B1">
        <w:rPr>
          <w:lang w:val="uk-UA"/>
        </w:rPr>
        <w:t>"</w:t>
      </w:r>
      <w:r>
        <w:t xml:space="preserve">, з них 4 дитячі колективи мають звання </w:t>
      </w:r>
      <w:r w:rsidR="003A35B1">
        <w:rPr>
          <w:lang w:val="uk-UA"/>
        </w:rPr>
        <w:t>"З</w:t>
      </w:r>
      <w:r w:rsidR="003A35B1">
        <w:t>разковий аматорський</w:t>
      </w:r>
      <w:r w:rsidR="003A35B1">
        <w:rPr>
          <w:lang w:val="uk-UA"/>
        </w:rPr>
        <w:t>"</w:t>
      </w:r>
      <w:r>
        <w:t xml:space="preserve">, 7 мистецьким колективам надано статус </w:t>
      </w:r>
      <w:r w:rsidR="003A35B1">
        <w:rPr>
          <w:lang w:val="uk-UA"/>
        </w:rPr>
        <w:t>"М</w:t>
      </w:r>
      <w:r>
        <w:t>уніципальний</w:t>
      </w:r>
      <w:r w:rsidR="003A35B1">
        <w:rPr>
          <w:lang w:val="uk-UA"/>
        </w:rPr>
        <w:t>"</w:t>
      </w:r>
      <w:r>
        <w:t>.</w:t>
      </w:r>
    </w:p>
    <w:p w:rsidR="007D5072" w:rsidRPr="007D5072" w:rsidRDefault="007B5FC8" w:rsidP="007D5072">
      <w:pPr>
        <w:pStyle w:val="ac"/>
        <w:ind w:firstLine="567"/>
        <w:jc w:val="both"/>
        <w:rPr>
          <w:rFonts w:ascii="Times New Roman" w:hAnsi="Times New Roman"/>
          <w:lang w:val="uk-UA"/>
        </w:rPr>
      </w:pPr>
      <w:r w:rsidRPr="00F0780B">
        <w:rPr>
          <w:rFonts w:ascii="Times New Roman" w:hAnsi="Times New Roman"/>
          <w:lang w:val="uk-UA"/>
        </w:rPr>
        <w:t>Культурно-мистецьку палітру міста також представляють і твор</w:t>
      </w:r>
      <w:r w:rsidR="007D5072" w:rsidRPr="00F0780B">
        <w:rPr>
          <w:rFonts w:ascii="Times New Roman" w:hAnsi="Times New Roman"/>
          <w:lang w:val="uk-UA"/>
        </w:rPr>
        <w:t>чі колективи Івано-Франківська, зокрема кращі мистецькі колективи м. Івано-</w:t>
      </w:r>
      <w:r w:rsidR="007D5072" w:rsidRPr="007D5072">
        <w:rPr>
          <w:rFonts w:ascii="Times New Roman" w:hAnsi="Times New Roman"/>
          <w:lang w:val="uk-UA"/>
        </w:rPr>
        <w:t>Франківська презентували своє мистецтво на міжнародних,</w:t>
      </w:r>
      <w:r w:rsidR="007D5072">
        <w:rPr>
          <w:rFonts w:ascii="Times New Roman" w:hAnsi="Times New Roman"/>
          <w:lang w:val="uk-UA"/>
        </w:rPr>
        <w:t xml:space="preserve"> </w:t>
      </w:r>
      <w:r w:rsidR="007D5072" w:rsidRPr="007D5072">
        <w:rPr>
          <w:rFonts w:ascii="Times New Roman" w:hAnsi="Times New Roman"/>
          <w:lang w:val="uk-UA"/>
        </w:rPr>
        <w:t>всеукраїнських, регіональних, обласних фестивалях, фестивалях-конкурсах,</w:t>
      </w:r>
      <w:r w:rsidR="007D5072">
        <w:rPr>
          <w:rFonts w:ascii="Times New Roman" w:hAnsi="Times New Roman"/>
          <w:lang w:val="uk-UA"/>
        </w:rPr>
        <w:t xml:space="preserve"> </w:t>
      </w:r>
      <w:r w:rsidR="003A35B1">
        <w:rPr>
          <w:rFonts w:ascii="Times New Roman" w:hAnsi="Times New Roman"/>
          <w:lang w:val="uk-UA"/>
        </w:rPr>
        <w:t>"</w:t>
      </w:r>
      <w:r w:rsidR="007D5072" w:rsidRPr="007D5072">
        <w:rPr>
          <w:rFonts w:ascii="Times New Roman" w:hAnsi="Times New Roman"/>
          <w:lang w:val="uk-UA"/>
        </w:rPr>
        <w:t>Днях української культури</w:t>
      </w:r>
      <w:r w:rsidR="003A35B1">
        <w:rPr>
          <w:rFonts w:ascii="Times New Roman" w:hAnsi="Times New Roman"/>
          <w:lang w:val="uk-UA"/>
        </w:rPr>
        <w:t>"</w:t>
      </w:r>
      <w:r w:rsidR="007D5072" w:rsidRPr="007D5072">
        <w:rPr>
          <w:rFonts w:ascii="Times New Roman" w:hAnsi="Times New Roman"/>
          <w:lang w:val="uk-UA"/>
        </w:rPr>
        <w:t xml:space="preserve"> за межами України та</w:t>
      </w:r>
      <w:r w:rsidR="00F0780B">
        <w:rPr>
          <w:rFonts w:ascii="Times New Roman" w:hAnsi="Times New Roman"/>
          <w:lang w:val="uk-UA"/>
        </w:rPr>
        <w:t xml:space="preserve"> в</w:t>
      </w:r>
      <w:r w:rsidR="007D5072" w:rsidRPr="007D5072">
        <w:rPr>
          <w:rFonts w:ascii="Times New Roman" w:hAnsi="Times New Roman"/>
          <w:lang w:val="uk-UA"/>
        </w:rPr>
        <w:t xml:space="preserve"> обласних </w:t>
      </w:r>
      <w:r w:rsidR="00F0780B">
        <w:rPr>
          <w:rFonts w:ascii="Times New Roman" w:hAnsi="Times New Roman"/>
          <w:lang w:val="uk-UA"/>
        </w:rPr>
        <w:t>центрах</w:t>
      </w:r>
      <w:r w:rsidR="007D5072" w:rsidRPr="007D5072">
        <w:rPr>
          <w:rFonts w:ascii="Times New Roman" w:hAnsi="Times New Roman"/>
          <w:lang w:val="uk-UA"/>
        </w:rPr>
        <w:t xml:space="preserve"> України:</w:t>
      </w:r>
    </w:p>
    <w:p w:rsidR="007D5072" w:rsidRPr="007D5072" w:rsidRDefault="007D5072" w:rsidP="007D5072">
      <w:pPr>
        <w:pStyle w:val="ac"/>
        <w:jc w:val="both"/>
        <w:rPr>
          <w:rFonts w:ascii="Times New Roman" w:hAnsi="Times New Roman"/>
          <w:lang w:val="uk-UA"/>
        </w:rPr>
      </w:pPr>
      <w:r w:rsidRPr="007D5072">
        <w:rPr>
          <w:rFonts w:ascii="Times New Roman" w:hAnsi="Times New Roman"/>
          <w:lang w:val="uk-UA"/>
        </w:rPr>
        <w:lastRenderedPageBreak/>
        <w:t>– участь н</w:t>
      </w:r>
      <w:r w:rsidR="003A35B1">
        <w:rPr>
          <w:rFonts w:ascii="Times New Roman" w:hAnsi="Times New Roman"/>
          <w:lang w:val="uk-UA"/>
        </w:rPr>
        <w:t>ародного аматорського квартету "</w:t>
      </w:r>
      <w:r w:rsidRPr="007D5072">
        <w:rPr>
          <w:rFonts w:ascii="Times New Roman" w:hAnsi="Times New Roman"/>
          <w:lang w:val="uk-UA"/>
        </w:rPr>
        <w:t>Коло</w:t>
      </w:r>
      <w:r w:rsidR="003A35B1">
        <w:rPr>
          <w:rFonts w:ascii="Times New Roman" w:hAnsi="Times New Roman"/>
          <w:lang w:val="uk-UA"/>
        </w:rPr>
        <w:t>"</w:t>
      </w:r>
      <w:r w:rsidRPr="007D5072">
        <w:rPr>
          <w:rFonts w:ascii="Times New Roman" w:hAnsi="Times New Roman"/>
          <w:lang w:val="uk-UA"/>
        </w:rPr>
        <w:t xml:space="preserve"> ЦНД у Х</w:t>
      </w:r>
      <w:r>
        <w:rPr>
          <w:rFonts w:ascii="Times New Roman" w:hAnsi="Times New Roman"/>
          <w:lang w:val="uk-UA"/>
        </w:rPr>
        <w:t xml:space="preserve"> </w:t>
      </w:r>
      <w:r w:rsidRPr="007D5072">
        <w:rPr>
          <w:rFonts w:ascii="Times New Roman" w:hAnsi="Times New Roman"/>
          <w:lang w:val="uk-UA"/>
        </w:rPr>
        <w:t>Міжнародному фестивалі чоловічих хорів та вокальних ансамблів</w:t>
      </w:r>
      <w:r>
        <w:rPr>
          <w:rFonts w:ascii="Times New Roman" w:hAnsi="Times New Roman"/>
          <w:lang w:val="uk-UA"/>
        </w:rPr>
        <w:t xml:space="preserve"> </w:t>
      </w:r>
      <w:r w:rsidR="00D24A0C">
        <w:rPr>
          <w:rFonts w:ascii="Times New Roman" w:hAnsi="Times New Roman"/>
          <w:lang w:val="uk-UA"/>
        </w:rPr>
        <w:t>"</w:t>
      </w:r>
      <w:r w:rsidRPr="007D5072">
        <w:rPr>
          <w:rFonts w:ascii="Times New Roman" w:hAnsi="Times New Roman"/>
          <w:lang w:val="uk-UA"/>
        </w:rPr>
        <w:t>Заспіваймо, хлопці, пісню</w:t>
      </w:r>
      <w:r w:rsidR="00D24A0C">
        <w:rPr>
          <w:rFonts w:ascii="Times New Roman" w:hAnsi="Times New Roman"/>
          <w:lang w:val="uk-UA"/>
        </w:rPr>
        <w:t>"</w:t>
      </w:r>
      <w:r w:rsidRPr="007D5072">
        <w:rPr>
          <w:rFonts w:ascii="Times New Roman" w:hAnsi="Times New Roman"/>
          <w:lang w:val="uk-UA"/>
        </w:rPr>
        <w:t xml:space="preserve"> (Литва, м. Таурає);</w:t>
      </w:r>
    </w:p>
    <w:p w:rsidR="007D5072" w:rsidRPr="007D5072" w:rsidRDefault="007D5072" w:rsidP="007D5072">
      <w:pPr>
        <w:pStyle w:val="ac"/>
        <w:jc w:val="both"/>
        <w:rPr>
          <w:rFonts w:ascii="Times New Roman" w:hAnsi="Times New Roman"/>
          <w:lang w:val="uk-UA"/>
        </w:rPr>
      </w:pPr>
      <w:r w:rsidRPr="007D5072">
        <w:rPr>
          <w:rFonts w:ascii="Times New Roman" w:hAnsi="Times New Roman"/>
          <w:lang w:val="uk-UA"/>
        </w:rPr>
        <w:t xml:space="preserve">– участь гурту </w:t>
      </w:r>
      <w:r w:rsidR="00D24A0C">
        <w:rPr>
          <w:rFonts w:ascii="Times New Roman" w:hAnsi="Times New Roman"/>
          <w:lang w:val="uk-UA"/>
        </w:rPr>
        <w:t>"</w:t>
      </w:r>
      <w:r w:rsidRPr="007D5072">
        <w:rPr>
          <w:rFonts w:ascii="Times New Roman" w:hAnsi="Times New Roman"/>
          <w:lang w:val="uk-UA"/>
        </w:rPr>
        <w:t>5 Океан</w:t>
      </w:r>
      <w:r w:rsidR="00D24A0C">
        <w:rPr>
          <w:rFonts w:ascii="Times New Roman" w:hAnsi="Times New Roman"/>
          <w:lang w:val="uk-UA"/>
        </w:rPr>
        <w:t>"</w:t>
      </w:r>
      <w:r w:rsidRPr="007D5072">
        <w:rPr>
          <w:rFonts w:ascii="Times New Roman" w:hAnsi="Times New Roman"/>
          <w:lang w:val="uk-UA"/>
        </w:rPr>
        <w:t xml:space="preserve"> НД с. Угорники у святкуванні Дня міста Ополє</w:t>
      </w:r>
      <w:r>
        <w:rPr>
          <w:rFonts w:ascii="Times New Roman" w:hAnsi="Times New Roman"/>
          <w:lang w:val="uk-UA"/>
        </w:rPr>
        <w:t xml:space="preserve"> </w:t>
      </w:r>
      <w:r w:rsidRPr="007D5072">
        <w:rPr>
          <w:rFonts w:ascii="Times New Roman" w:hAnsi="Times New Roman"/>
          <w:lang w:val="uk-UA"/>
        </w:rPr>
        <w:t>(Польща, м. Ополє);</w:t>
      </w:r>
    </w:p>
    <w:p w:rsidR="007D5072" w:rsidRPr="007D5072" w:rsidRDefault="007D5072" w:rsidP="007D5072">
      <w:pPr>
        <w:pStyle w:val="ac"/>
        <w:jc w:val="both"/>
        <w:rPr>
          <w:rFonts w:ascii="Times New Roman" w:hAnsi="Times New Roman"/>
          <w:lang w:val="uk-UA"/>
        </w:rPr>
      </w:pPr>
      <w:r w:rsidRPr="007D5072">
        <w:rPr>
          <w:rFonts w:ascii="Times New Roman" w:hAnsi="Times New Roman"/>
          <w:lang w:val="uk-UA"/>
        </w:rPr>
        <w:t>– участь солістів Міського Народного дому в ХІІІ Міжнародному</w:t>
      </w:r>
      <w:r>
        <w:rPr>
          <w:rFonts w:ascii="Times New Roman" w:hAnsi="Times New Roman"/>
          <w:lang w:val="uk-UA"/>
        </w:rPr>
        <w:t xml:space="preserve"> </w:t>
      </w:r>
      <w:r w:rsidRPr="007D5072">
        <w:rPr>
          <w:rFonts w:ascii="Times New Roman" w:hAnsi="Times New Roman"/>
          <w:lang w:val="uk-UA"/>
        </w:rPr>
        <w:t xml:space="preserve">фестивалі-конкурсі патріотичної пісні </w:t>
      </w:r>
      <w:r w:rsidR="00D24A0C">
        <w:rPr>
          <w:rFonts w:ascii="Times New Roman" w:hAnsi="Times New Roman"/>
          <w:lang w:val="uk-UA"/>
        </w:rPr>
        <w:t>"</w:t>
      </w:r>
      <w:r w:rsidRPr="007D5072">
        <w:rPr>
          <w:rFonts w:ascii="Times New Roman" w:hAnsi="Times New Roman"/>
          <w:lang w:val="uk-UA"/>
        </w:rPr>
        <w:t>Ключборські трелі</w:t>
      </w:r>
      <w:r w:rsidR="00D24A0C">
        <w:rPr>
          <w:rFonts w:ascii="Times New Roman" w:hAnsi="Times New Roman"/>
          <w:lang w:val="uk-UA"/>
        </w:rPr>
        <w:t>"</w:t>
      </w:r>
      <w:r>
        <w:rPr>
          <w:rFonts w:ascii="Times New Roman" w:hAnsi="Times New Roman"/>
          <w:lang w:val="uk-UA"/>
        </w:rPr>
        <w:t xml:space="preserve"> </w:t>
      </w:r>
      <w:r w:rsidRPr="007D5072">
        <w:rPr>
          <w:rFonts w:ascii="Times New Roman" w:hAnsi="Times New Roman"/>
          <w:lang w:val="uk-UA"/>
        </w:rPr>
        <w:t>(Польща, м. Ключборг);</w:t>
      </w:r>
    </w:p>
    <w:p w:rsidR="007D5072" w:rsidRPr="007D5072" w:rsidRDefault="007D5072" w:rsidP="007D5072">
      <w:pPr>
        <w:pStyle w:val="ac"/>
        <w:jc w:val="both"/>
        <w:rPr>
          <w:rFonts w:ascii="Times New Roman" w:hAnsi="Times New Roman"/>
          <w:lang w:val="uk-UA"/>
        </w:rPr>
      </w:pPr>
      <w:r w:rsidRPr="007D5072">
        <w:rPr>
          <w:rFonts w:ascii="Times New Roman" w:hAnsi="Times New Roman"/>
          <w:lang w:val="uk-UA"/>
        </w:rPr>
        <w:t>– участь муніципальної капели бандуристів ЦНД у ХVІ фестивалі</w:t>
      </w:r>
      <w:r w:rsidR="00F0780B">
        <w:rPr>
          <w:rFonts w:ascii="Times New Roman" w:hAnsi="Times New Roman"/>
          <w:lang w:val="uk-UA"/>
        </w:rPr>
        <w:t xml:space="preserve"> </w:t>
      </w:r>
      <w:r w:rsidRPr="007D5072">
        <w:rPr>
          <w:rFonts w:ascii="Times New Roman" w:hAnsi="Times New Roman"/>
          <w:lang w:val="uk-UA"/>
        </w:rPr>
        <w:t xml:space="preserve">української культури </w:t>
      </w:r>
      <w:r w:rsidR="00D24A0C">
        <w:rPr>
          <w:rFonts w:ascii="Times New Roman" w:hAnsi="Times New Roman"/>
          <w:lang w:val="uk-UA"/>
        </w:rPr>
        <w:t>"</w:t>
      </w:r>
      <w:r w:rsidRPr="007D5072">
        <w:rPr>
          <w:rFonts w:ascii="Times New Roman" w:hAnsi="Times New Roman"/>
          <w:lang w:val="uk-UA"/>
        </w:rPr>
        <w:t>Калина</w:t>
      </w:r>
      <w:r w:rsidR="00D24A0C">
        <w:rPr>
          <w:rFonts w:ascii="Times New Roman" w:hAnsi="Times New Roman"/>
          <w:lang w:val="uk-UA"/>
        </w:rPr>
        <w:t>"</w:t>
      </w:r>
      <w:r w:rsidRPr="007D5072">
        <w:rPr>
          <w:rFonts w:ascii="Times New Roman" w:hAnsi="Times New Roman"/>
          <w:lang w:val="uk-UA"/>
        </w:rPr>
        <w:t xml:space="preserve"> (Сербія, м. Вербас );</w:t>
      </w:r>
    </w:p>
    <w:p w:rsidR="007D5072" w:rsidRPr="007D5072" w:rsidRDefault="007D5072" w:rsidP="007D5072">
      <w:pPr>
        <w:pStyle w:val="ac"/>
        <w:jc w:val="both"/>
        <w:rPr>
          <w:rFonts w:ascii="Times New Roman" w:hAnsi="Times New Roman"/>
          <w:lang w:val="uk-UA"/>
        </w:rPr>
      </w:pPr>
      <w:r w:rsidRPr="007D5072">
        <w:rPr>
          <w:rFonts w:ascii="Times New Roman" w:hAnsi="Times New Roman"/>
          <w:lang w:val="uk-UA"/>
        </w:rPr>
        <w:t>– участь артистів Івано-Франківського Нового театру у фестивалі</w:t>
      </w:r>
      <w:r w:rsidR="00F0780B">
        <w:rPr>
          <w:rFonts w:ascii="Times New Roman" w:hAnsi="Times New Roman"/>
          <w:lang w:val="uk-UA"/>
        </w:rPr>
        <w:t xml:space="preserve"> </w:t>
      </w:r>
      <w:r w:rsidR="00D24A0C">
        <w:rPr>
          <w:rFonts w:ascii="Times New Roman" w:hAnsi="Times New Roman"/>
          <w:lang w:val="uk-UA"/>
        </w:rPr>
        <w:t>"</w:t>
      </w:r>
      <w:r w:rsidRPr="007D5072">
        <w:rPr>
          <w:rFonts w:ascii="Times New Roman" w:hAnsi="Times New Roman"/>
          <w:lang w:val="uk-UA"/>
        </w:rPr>
        <w:t>Традиційна маївка</w:t>
      </w:r>
      <w:r w:rsidR="00D24A0C">
        <w:rPr>
          <w:rFonts w:ascii="Times New Roman" w:hAnsi="Times New Roman"/>
          <w:lang w:val="uk-UA"/>
        </w:rPr>
        <w:t>"</w:t>
      </w:r>
      <w:r w:rsidRPr="007D5072">
        <w:rPr>
          <w:rFonts w:ascii="Times New Roman" w:hAnsi="Times New Roman"/>
          <w:lang w:val="uk-UA"/>
        </w:rPr>
        <w:t xml:space="preserve"> (Польща, м. Варшава, Дільниця </w:t>
      </w:r>
      <w:r w:rsidR="00D24A0C">
        <w:rPr>
          <w:rFonts w:ascii="Times New Roman" w:hAnsi="Times New Roman"/>
          <w:lang w:val="uk-UA"/>
        </w:rPr>
        <w:t>"</w:t>
      </w:r>
      <w:r w:rsidRPr="007D5072">
        <w:rPr>
          <w:rFonts w:ascii="Times New Roman" w:hAnsi="Times New Roman"/>
          <w:lang w:val="uk-UA"/>
        </w:rPr>
        <w:t>Охота</w:t>
      </w:r>
      <w:r w:rsidR="00D24A0C">
        <w:rPr>
          <w:rFonts w:ascii="Times New Roman" w:hAnsi="Times New Roman"/>
          <w:lang w:val="uk-UA"/>
        </w:rPr>
        <w:t>"</w:t>
      </w:r>
      <w:r w:rsidRPr="007D5072">
        <w:rPr>
          <w:rFonts w:ascii="Times New Roman" w:hAnsi="Times New Roman"/>
          <w:lang w:val="uk-UA"/>
        </w:rPr>
        <w:t>);</w:t>
      </w:r>
    </w:p>
    <w:p w:rsidR="007D5072" w:rsidRPr="007D5072" w:rsidRDefault="007D5072" w:rsidP="007D5072">
      <w:pPr>
        <w:pStyle w:val="ac"/>
        <w:jc w:val="both"/>
        <w:rPr>
          <w:rFonts w:ascii="Times New Roman" w:hAnsi="Times New Roman"/>
          <w:lang w:val="uk-UA"/>
        </w:rPr>
      </w:pPr>
      <w:r w:rsidRPr="007D5072">
        <w:rPr>
          <w:rFonts w:ascii="Times New Roman" w:hAnsi="Times New Roman"/>
          <w:lang w:val="uk-UA"/>
        </w:rPr>
        <w:t xml:space="preserve">– участь муніципального камерного хору </w:t>
      </w:r>
      <w:r w:rsidR="00D24A0C">
        <w:rPr>
          <w:rFonts w:ascii="Times New Roman" w:hAnsi="Times New Roman"/>
          <w:lang w:val="uk-UA"/>
        </w:rPr>
        <w:t>"</w:t>
      </w:r>
      <w:r w:rsidRPr="007D5072">
        <w:rPr>
          <w:rFonts w:ascii="Times New Roman" w:hAnsi="Times New Roman"/>
          <w:lang w:val="uk-UA"/>
        </w:rPr>
        <w:t>Галицькі передзвони</w:t>
      </w:r>
      <w:r w:rsidR="00D24A0C">
        <w:rPr>
          <w:rFonts w:ascii="Times New Roman" w:hAnsi="Times New Roman"/>
          <w:lang w:val="uk-UA"/>
        </w:rPr>
        <w:t>"</w:t>
      </w:r>
      <w:r w:rsidRPr="007D5072">
        <w:rPr>
          <w:rFonts w:ascii="Times New Roman" w:hAnsi="Times New Roman"/>
          <w:lang w:val="uk-UA"/>
        </w:rPr>
        <w:t xml:space="preserve"> у</w:t>
      </w:r>
      <w:r w:rsidR="00F0780B">
        <w:rPr>
          <w:rFonts w:ascii="Times New Roman" w:hAnsi="Times New Roman"/>
          <w:lang w:val="uk-UA"/>
        </w:rPr>
        <w:t xml:space="preserve"> </w:t>
      </w:r>
      <w:r w:rsidRPr="007D5072">
        <w:rPr>
          <w:rFonts w:ascii="Times New Roman" w:hAnsi="Times New Roman"/>
          <w:lang w:val="uk-UA"/>
        </w:rPr>
        <w:t>міжнародному фестивалі духовної пісні Візантійського обряду</w:t>
      </w:r>
      <w:r w:rsidR="00F0780B">
        <w:rPr>
          <w:rFonts w:ascii="Times New Roman" w:hAnsi="Times New Roman"/>
          <w:lang w:val="uk-UA"/>
        </w:rPr>
        <w:t xml:space="preserve"> </w:t>
      </w:r>
      <w:r w:rsidRPr="007D5072">
        <w:rPr>
          <w:rFonts w:ascii="Times New Roman" w:hAnsi="Times New Roman"/>
          <w:lang w:val="uk-UA"/>
        </w:rPr>
        <w:t>(Словаччина, м. Вранов);</w:t>
      </w:r>
    </w:p>
    <w:p w:rsidR="007D5072" w:rsidRPr="007D5072" w:rsidRDefault="007D5072" w:rsidP="007D5072">
      <w:pPr>
        <w:pStyle w:val="ac"/>
        <w:jc w:val="both"/>
        <w:rPr>
          <w:rFonts w:ascii="Times New Roman" w:hAnsi="Times New Roman"/>
          <w:lang w:val="uk-UA"/>
        </w:rPr>
      </w:pPr>
      <w:r w:rsidRPr="007D5072">
        <w:rPr>
          <w:rFonts w:ascii="Times New Roman" w:hAnsi="Times New Roman"/>
          <w:lang w:val="uk-UA"/>
        </w:rPr>
        <w:t xml:space="preserve">– участь народної аматорської лемківської хорової капели </w:t>
      </w:r>
      <w:r w:rsidR="00D24A0C">
        <w:rPr>
          <w:rFonts w:ascii="Times New Roman" w:hAnsi="Times New Roman"/>
          <w:lang w:val="uk-UA"/>
        </w:rPr>
        <w:t>"</w:t>
      </w:r>
      <w:r w:rsidRPr="007D5072">
        <w:rPr>
          <w:rFonts w:ascii="Times New Roman" w:hAnsi="Times New Roman"/>
          <w:lang w:val="uk-UA"/>
        </w:rPr>
        <w:t>Бескид</w:t>
      </w:r>
      <w:r w:rsidR="00D24A0C">
        <w:rPr>
          <w:rFonts w:ascii="Times New Roman" w:hAnsi="Times New Roman"/>
          <w:lang w:val="uk-UA"/>
        </w:rPr>
        <w:t>"</w:t>
      </w:r>
      <w:r w:rsidRPr="007D5072">
        <w:rPr>
          <w:rFonts w:ascii="Times New Roman" w:hAnsi="Times New Roman"/>
          <w:lang w:val="uk-UA"/>
        </w:rPr>
        <w:t xml:space="preserve"> МНД</w:t>
      </w:r>
    </w:p>
    <w:p w:rsidR="007D5072" w:rsidRPr="007D5072" w:rsidRDefault="007D5072" w:rsidP="00F0780B">
      <w:pPr>
        <w:pStyle w:val="ac"/>
        <w:jc w:val="both"/>
        <w:rPr>
          <w:rFonts w:ascii="Times New Roman" w:hAnsi="Times New Roman"/>
          <w:lang w:val="uk-UA"/>
        </w:rPr>
      </w:pPr>
      <w:r w:rsidRPr="007D5072">
        <w:rPr>
          <w:rFonts w:ascii="Times New Roman" w:hAnsi="Times New Roman"/>
          <w:lang w:val="uk-UA"/>
        </w:rPr>
        <w:t xml:space="preserve">у ХХ міжнародному фестивалі лемківської культури </w:t>
      </w:r>
      <w:r w:rsidR="00D24A0C">
        <w:rPr>
          <w:rFonts w:ascii="Times New Roman" w:hAnsi="Times New Roman"/>
          <w:lang w:val="uk-UA"/>
        </w:rPr>
        <w:t>"</w:t>
      </w:r>
      <w:r w:rsidRPr="007D5072">
        <w:rPr>
          <w:rFonts w:ascii="Times New Roman" w:hAnsi="Times New Roman"/>
          <w:lang w:val="uk-UA"/>
        </w:rPr>
        <w:t>Дзвони</w:t>
      </w:r>
      <w:r w:rsidR="00F0780B">
        <w:rPr>
          <w:rFonts w:ascii="Times New Roman" w:hAnsi="Times New Roman"/>
          <w:lang w:val="uk-UA"/>
        </w:rPr>
        <w:t xml:space="preserve"> </w:t>
      </w:r>
      <w:r w:rsidRPr="007D5072">
        <w:rPr>
          <w:rFonts w:ascii="Times New Roman" w:hAnsi="Times New Roman"/>
          <w:lang w:val="uk-UA"/>
        </w:rPr>
        <w:t>Лемківщини</w:t>
      </w:r>
      <w:r w:rsidR="00D24A0C">
        <w:rPr>
          <w:rFonts w:ascii="Times New Roman" w:hAnsi="Times New Roman"/>
          <w:lang w:val="uk-UA"/>
        </w:rPr>
        <w:t>"</w:t>
      </w:r>
      <w:r w:rsidRPr="007D5072">
        <w:rPr>
          <w:rFonts w:ascii="Times New Roman" w:hAnsi="Times New Roman"/>
          <w:lang w:val="uk-UA"/>
        </w:rPr>
        <w:t xml:space="preserve"> (м. Монастириськ, Тернопільська обл.);</w:t>
      </w:r>
    </w:p>
    <w:p w:rsidR="007D5072" w:rsidRPr="007D5072" w:rsidRDefault="007D5072" w:rsidP="00F0780B">
      <w:pPr>
        <w:pStyle w:val="ac"/>
        <w:jc w:val="both"/>
        <w:rPr>
          <w:rFonts w:ascii="Times New Roman" w:hAnsi="Times New Roman"/>
          <w:lang w:val="uk-UA"/>
        </w:rPr>
      </w:pPr>
      <w:r w:rsidRPr="007D5072">
        <w:rPr>
          <w:rFonts w:ascii="Times New Roman" w:hAnsi="Times New Roman"/>
          <w:lang w:val="uk-UA"/>
        </w:rPr>
        <w:t xml:space="preserve">– участь народної аматорської лемківської хорової капели </w:t>
      </w:r>
      <w:r w:rsidR="00D24A0C">
        <w:rPr>
          <w:rFonts w:ascii="Times New Roman" w:hAnsi="Times New Roman"/>
          <w:lang w:val="uk-UA"/>
        </w:rPr>
        <w:t>"</w:t>
      </w:r>
      <w:r w:rsidRPr="007D5072">
        <w:rPr>
          <w:rFonts w:ascii="Times New Roman" w:hAnsi="Times New Roman"/>
          <w:lang w:val="uk-UA"/>
        </w:rPr>
        <w:t>Бескид</w:t>
      </w:r>
      <w:r w:rsidR="00D24A0C">
        <w:rPr>
          <w:rFonts w:ascii="Times New Roman" w:hAnsi="Times New Roman"/>
          <w:lang w:val="uk-UA"/>
        </w:rPr>
        <w:t>"</w:t>
      </w:r>
      <w:r w:rsidRPr="007D5072">
        <w:rPr>
          <w:rFonts w:ascii="Times New Roman" w:hAnsi="Times New Roman"/>
          <w:lang w:val="uk-UA"/>
        </w:rPr>
        <w:t xml:space="preserve"> МНД</w:t>
      </w:r>
      <w:r w:rsidR="00F0780B">
        <w:rPr>
          <w:rFonts w:ascii="Times New Roman" w:hAnsi="Times New Roman"/>
          <w:lang w:val="uk-UA"/>
        </w:rPr>
        <w:t xml:space="preserve"> </w:t>
      </w:r>
      <w:r w:rsidRPr="007D5072">
        <w:rPr>
          <w:rFonts w:ascii="Times New Roman" w:hAnsi="Times New Roman"/>
          <w:lang w:val="uk-UA"/>
        </w:rPr>
        <w:t xml:space="preserve">у V Львівському обласному фестивалі </w:t>
      </w:r>
      <w:r w:rsidR="00D24A0C">
        <w:rPr>
          <w:rFonts w:ascii="Times New Roman" w:hAnsi="Times New Roman"/>
          <w:lang w:val="uk-UA"/>
        </w:rPr>
        <w:t>"</w:t>
      </w:r>
      <w:r w:rsidRPr="007D5072">
        <w:rPr>
          <w:rFonts w:ascii="Times New Roman" w:hAnsi="Times New Roman"/>
          <w:lang w:val="uk-UA"/>
        </w:rPr>
        <w:t>Гомін Лемківщини</w:t>
      </w:r>
      <w:r w:rsidR="00D24A0C">
        <w:rPr>
          <w:rFonts w:ascii="Times New Roman" w:hAnsi="Times New Roman"/>
          <w:lang w:val="uk-UA"/>
        </w:rPr>
        <w:t>"</w:t>
      </w:r>
      <w:r w:rsidRPr="007D5072">
        <w:rPr>
          <w:rFonts w:ascii="Times New Roman" w:hAnsi="Times New Roman"/>
          <w:lang w:val="uk-UA"/>
        </w:rPr>
        <w:t xml:space="preserve"> (сщ. Зимна</w:t>
      </w:r>
      <w:r w:rsidR="00F0780B">
        <w:rPr>
          <w:rFonts w:ascii="Times New Roman" w:hAnsi="Times New Roman"/>
          <w:lang w:val="uk-UA"/>
        </w:rPr>
        <w:t xml:space="preserve"> </w:t>
      </w:r>
      <w:r w:rsidRPr="007D5072">
        <w:rPr>
          <w:rFonts w:ascii="Times New Roman" w:hAnsi="Times New Roman"/>
          <w:lang w:val="uk-UA"/>
        </w:rPr>
        <w:t>вода, м. Львів);</w:t>
      </w:r>
    </w:p>
    <w:p w:rsidR="00F0780B" w:rsidRDefault="007D5072" w:rsidP="00F0780B">
      <w:pPr>
        <w:pStyle w:val="ac"/>
        <w:jc w:val="both"/>
        <w:rPr>
          <w:rFonts w:ascii="Times New Roman" w:hAnsi="Times New Roman"/>
          <w:lang w:val="uk-UA"/>
        </w:rPr>
      </w:pPr>
      <w:r w:rsidRPr="007D5072">
        <w:rPr>
          <w:rFonts w:ascii="Times New Roman" w:hAnsi="Times New Roman"/>
          <w:lang w:val="uk-UA"/>
        </w:rPr>
        <w:t xml:space="preserve">– гастролі Комунального закладу </w:t>
      </w:r>
      <w:r w:rsidR="00D24A0C">
        <w:rPr>
          <w:rFonts w:ascii="Times New Roman" w:hAnsi="Times New Roman"/>
          <w:lang w:val="uk-UA"/>
        </w:rPr>
        <w:t>"</w:t>
      </w:r>
      <w:r w:rsidRPr="007D5072">
        <w:rPr>
          <w:rFonts w:ascii="Times New Roman" w:hAnsi="Times New Roman"/>
          <w:lang w:val="uk-UA"/>
        </w:rPr>
        <w:t>Івано-Франківський Новий театр</w:t>
      </w:r>
      <w:r w:rsidR="00D24A0C">
        <w:rPr>
          <w:rFonts w:ascii="Times New Roman" w:hAnsi="Times New Roman"/>
          <w:lang w:val="uk-UA"/>
        </w:rPr>
        <w:t>"</w:t>
      </w:r>
      <w:r w:rsidRPr="007D5072">
        <w:rPr>
          <w:rFonts w:ascii="Times New Roman" w:hAnsi="Times New Roman"/>
          <w:lang w:val="uk-UA"/>
        </w:rPr>
        <w:t xml:space="preserve"> по</w:t>
      </w:r>
      <w:r w:rsidR="00F0780B">
        <w:rPr>
          <w:rFonts w:ascii="Times New Roman" w:hAnsi="Times New Roman"/>
          <w:lang w:val="uk-UA"/>
        </w:rPr>
        <w:t xml:space="preserve"> </w:t>
      </w:r>
      <w:r w:rsidRPr="007D5072">
        <w:rPr>
          <w:rFonts w:ascii="Times New Roman" w:hAnsi="Times New Roman"/>
          <w:lang w:val="uk-UA"/>
        </w:rPr>
        <w:t>містах Італії (м. Тренто, м. Мілан)</w:t>
      </w:r>
      <w:r w:rsidR="00F0780B">
        <w:rPr>
          <w:rFonts w:ascii="Times New Roman" w:hAnsi="Times New Roman"/>
          <w:lang w:val="uk-UA"/>
        </w:rPr>
        <w:t>.</w:t>
      </w:r>
    </w:p>
    <w:p w:rsidR="007B5FC8" w:rsidRPr="00F0780B" w:rsidRDefault="007B5FC8" w:rsidP="007B5FC8">
      <w:pPr>
        <w:pStyle w:val="af1"/>
        <w:ind w:left="0" w:firstLine="709"/>
        <w:jc w:val="both"/>
        <w:rPr>
          <w:sz w:val="28"/>
          <w:szCs w:val="28"/>
          <w:lang w:val="uk-UA"/>
        </w:rPr>
      </w:pPr>
      <w:r w:rsidRPr="00F0780B">
        <w:rPr>
          <w:sz w:val="28"/>
          <w:szCs w:val="28"/>
          <w:lang w:val="uk-UA"/>
        </w:rPr>
        <w:t>Впродовж 201</w:t>
      </w:r>
      <w:r w:rsidR="00F0780B" w:rsidRPr="00F0780B">
        <w:rPr>
          <w:sz w:val="28"/>
          <w:szCs w:val="28"/>
          <w:lang w:val="uk-UA"/>
        </w:rPr>
        <w:t>9</w:t>
      </w:r>
      <w:r w:rsidRPr="00F0780B">
        <w:rPr>
          <w:sz w:val="28"/>
          <w:szCs w:val="28"/>
          <w:lang w:val="uk-UA"/>
        </w:rPr>
        <w:t xml:space="preserve"> року бібліотекарями міста було організовано 608 масових заходів, надано послуги </w:t>
      </w:r>
      <w:r w:rsidR="00F0780B" w:rsidRPr="00F0780B">
        <w:rPr>
          <w:sz w:val="28"/>
          <w:szCs w:val="28"/>
          <w:lang w:val="uk-UA"/>
        </w:rPr>
        <w:t>39,8</w:t>
      </w:r>
      <w:r w:rsidRPr="00F0780B">
        <w:rPr>
          <w:color w:val="000000"/>
          <w:sz w:val="28"/>
          <w:szCs w:val="28"/>
          <w:lang w:val="uk-UA"/>
        </w:rPr>
        <w:t xml:space="preserve"> тис.</w:t>
      </w:r>
      <w:r w:rsidRPr="00F0780B">
        <w:rPr>
          <w:sz w:val="28"/>
          <w:szCs w:val="28"/>
          <w:lang w:val="uk-UA"/>
        </w:rPr>
        <w:t xml:space="preserve"> користувачів</w:t>
      </w:r>
      <w:r w:rsidR="00F0780B" w:rsidRPr="00F0780B">
        <w:rPr>
          <w:sz w:val="28"/>
          <w:szCs w:val="28"/>
          <w:lang w:val="uk-UA"/>
        </w:rPr>
        <w:t xml:space="preserve">, кількість книговидач </w:t>
      </w:r>
      <w:r w:rsidRPr="00F0780B">
        <w:rPr>
          <w:sz w:val="28"/>
          <w:szCs w:val="28"/>
          <w:lang w:val="uk-UA"/>
        </w:rPr>
        <w:t xml:space="preserve"> </w:t>
      </w:r>
      <w:r w:rsidR="00F0780B" w:rsidRPr="00F0780B">
        <w:rPr>
          <w:sz w:val="28"/>
          <w:szCs w:val="28"/>
          <w:lang w:val="uk-UA"/>
        </w:rPr>
        <w:t xml:space="preserve">становила </w:t>
      </w:r>
      <w:r w:rsidR="00F0780B" w:rsidRPr="00F0780B">
        <w:t>7</w:t>
      </w:r>
      <w:r w:rsidR="00F0780B" w:rsidRPr="00F0780B">
        <w:rPr>
          <w:lang w:val="uk-UA"/>
        </w:rPr>
        <w:t xml:space="preserve">2 </w:t>
      </w:r>
      <w:r w:rsidRPr="00F0780B">
        <w:rPr>
          <w:sz w:val="28"/>
          <w:szCs w:val="28"/>
          <w:lang w:val="uk-UA"/>
        </w:rPr>
        <w:t>тис. примірників.</w:t>
      </w:r>
      <w:r w:rsidR="00F0780B" w:rsidRPr="00F0780B">
        <w:t xml:space="preserve"> </w:t>
      </w:r>
      <w:r w:rsidR="00F0780B" w:rsidRPr="00F0780B">
        <w:rPr>
          <w:sz w:val="28"/>
          <w:szCs w:val="28"/>
        </w:rPr>
        <w:t xml:space="preserve">Традиційно бібліотеки системи беруть активну участь у всеукраїнському конкурсі </w:t>
      </w:r>
      <w:r w:rsidR="00D24A0C">
        <w:rPr>
          <w:sz w:val="28"/>
          <w:szCs w:val="28"/>
        </w:rPr>
        <w:t>"</w:t>
      </w:r>
      <w:r w:rsidR="00F0780B" w:rsidRPr="00F0780B">
        <w:rPr>
          <w:sz w:val="28"/>
          <w:szCs w:val="28"/>
        </w:rPr>
        <w:t>Книгоманія</w:t>
      </w:r>
      <w:r w:rsidR="00D24A0C">
        <w:rPr>
          <w:sz w:val="28"/>
          <w:szCs w:val="28"/>
        </w:rPr>
        <w:t>"</w:t>
      </w:r>
      <w:r w:rsidR="00F0780B">
        <w:rPr>
          <w:sz w:val="28"/>
          <w:szCs w:val="28"/>
          <w:lang w:val="uk-UA"/>
        </w:rPr>
        <w:t xml:space="preserve">. </w:t>
      </w:r>
    </w:p>
    <w:p w:rsidR="003E5553" w:rsidRPr="003E5553" w:rsidRDefault="007B5FC8" w:rsidP="007B5FC8">
      <w:pPr>
        <w:pStyle w:val="af1"/>
        <w:ind w:left="0" w:firstLine="709"/>
        <w:jc w:val="both"/>
        <w:rPr>
          <w:sz w:val="28"/>
          <w:szCs w:val="28"/>
          <w:lang w:val="uk-UA"/>
        </w:rPr>
      </w:pPr>
      <w:r w:rsidRPr="003E5553">
        <w:rPr>
          <w:sz w:val="28"/>
          <w:szCs w:val="28"/>
          <w:lang w:val="uk-UA"/>
        </w:rPr>
        <w:t xml:space="preserve">У місті успішно функціонує 5 шкіл естетичного виховання, у яких станом на </w:t>
      </w:r>
      <w:r w:rsidR="003E5553" w:rsidRPr="003E5553">
        <w:rPr>
          <w:sz w:val="28"/>
          <w:szCs w:val="28"/>
          <w:lang w:val="uk-UA"/>
        </w:rPr>
        <w:t>3</w:t>
      </w:r>
      <w:r w:rsidRPr="003E5553">
        <w:rPr>
          <w:sz w:val="28"/>
          <w:szCs w:val="28"/>
          <w:lang w:val="uk-UA"/>
        </w:rPr>
        <w:t xml:space="preserve">1 </w:t>
      </w:r>
      <w:r w:rsidR="003E5553" w:rsidRPr="003E5553">
        <w:rPr>
          <w:sz w:val="28"/>
          <w:szCs w:val="28"/>
          <w:lang w:val="uk-UA"/>
        </w:rPr>
        <w:t>грудня</w:t>
      </w:r>
      <w:r w:rsidRPr="003E5553">
        <w:rPr>
          <w:sz w:val="28"/>
          <w:szCs w:val="28"/>
          <w:lang w:val="uk-UA"/>
        </w:rPr>
        <w:t xml:space="preserve"> навчалося </w:t>
      </w:r>
      <w:r w:rsidR="003E5553" w:rsidRPr="003E5553">
        <w:rPr>
          <w:sz w:val="28"/>
          <w:szCs w:val="28"/>
          <w:lang w:val="uk-UA"/>
        </w:rPr>
        <w:t>2664 учні</w:t>
      </w:r>
      <w:r w:rsidRPr="003E5553">
        <w:rPr>
          <w:sz w:val="28"/>
          <w:szCs w:val="28"/>
          <w:lang w:val="uk-UA"/>
        </w:rPr>
        <w:t>.</w:t>
      </w:r>
      <w:r w:rsidR="003E5553" w:rsidRPr="003E5553">
        <w:rPr>
          <w:sz w:val="28"/>
          <w:szCs w:val="28"/>
          <w:lang w:val="uk-UA"/>
        </w:rPr>
        <w:t xml:space="preserve"> </w:t>
      </w:r>
      <w:r w:rsidR="003E5553" w:rsidRPr="003E5553">
        <w:rPr>
          <w:sz w:val="28"/>
          <w:szCs w:val="28"/>
        </w:rPr>
        <w:t xml:space="preserve">Головними подіями 2019 року було святкування 60-річчя дитячої художньої школи та 20-річний ювілей камерного оркестру викладачів ДМШ №2 ім. В. Барвінського. А загалом, впродовж 2019 року </w:t>
      </w:r>
      <w:proofErr w:type="gramStart"/>
      <w:r w:rsidR="003E5553" w:rsidRPr="003E5553">
        <w:rPr>
          <w:sz w:val="28"/>
          <w:szCs w:val="28"/>
        </w:rPr>
        <w:t>у школах</w:t>
      </w:r>
      <w:proofErr w:type="gramEnd"/>
      <w:r w:rsidR="003E5553" w:rsidRPr="003E5553">
        <w:rPr>
          <w:sz w:val="28"/>
          <w:szCs w:val="28"/>
        </w:rPr>
        <w:t xml:space="preserve"> проведено багато творчих заходів, спрямованих на підвищення професійного виконавського рівня учнів та викладачів. Проведено більше 100 міських та обласних творчих заходів, у яких безпосередньо брали участь учні та їх викладачі. </w:t>
      </w:r>
    </w:p>
    <w:p w:rsidR="007B5FC8" w:rsidRDefault="007B5FC8" w:rsidP="007B5FC8">
      <w:pPr>
        <w:pStyle w:val="af7"/>
        <w:widowControl w:val="0"/>
        <w:tabs>
          <w:tab w:val="left" w:pos="708"/>
        </w:tabs>
        <w:jc w:val="both"/>
        <w:rPr>
          <w:i/>
          <w:sz w:val="24"/>
          <w:szCs w:val="24"/>
          <w:highlight w:val="yellow"/>
          <w:lang w:val="uk-UA"/>
        </w:rPr>
      </w:pPr>
    </w:p>
    <w:p w:rsidR="007B5FC8" w:rsidRPr="00EA6F2F" w:rsidRDefault="007B5FC8" w:rsidP="007B5FC8">
      <w:pPr>
        <w:pStyle w:val="a7"/>
        <w:tabs>
          <w:tab w:val="left" w:pos="709"/>
        </w:tabs>
        <w:spacing w:after="0"/>
        <w:ind w:left="1134" w:hanging="450"/>
        <w:jc w:val="both"/>
        <w:outlineLvl w:val="0"/>
        <w:rPr>
          <w:i/>
          <w:sz w:val="28"/>
          <w:szCs w:val="28"/>
          <w:lang w:val="uk-UA"/>
        </w:rPr>
      </w:pPr>
      <w:r w:rsidRPr="00EA6F2F">
        <w:rPr>
          <w:i/>
          <w:sz w:val="28"/>
          <w:szCs w:val="28"/>
          <w:lang w:val="uk-UA"/>
        </w:rPr>
        <w:t>4.5 Фізична культура і спорт</w:t>
      </w:r>
    </w:p>
    <w:p w:rsidR="00EA6F2F" w:rsidRDefault="00EA6F2F" w:rsidP="007B5FC8">
      <w:pPr>
        <w:ind w:firstLine="708"/>
        <w:jc w:val="both"/>
        <w:rPr>
          <w:lang w:val="uk-UA"/>
        </w:rPr>
      </w:pPr>
      <w:r>
        <w:t xml:space="preserve">За звітний рік проведено та підтримано понад 385 заходів різних рівнів, зокрема: </w:t>
      </w:r>
    </w:p>
    <w:p w:rsidR="00EA6F2F" w:rsidRDefault="00C93312" w:rsidP="007B5FC8">
      <w:pPr>
        <w:ind w:firstLine="708"/>
        <w:jc w:val="both"/>
        <w:rPr>
          <w:lang w:val="uk-UA"/>
        </w:rPr>
      </w:pPr>
      <w:r>
        <w:rPr>
          <w:lang w:val="uk-UA"/>
        </w:rPr>
        <w:t xml:space="preserve">- </w:t>
      </w:r>
      <w:r w:rsidR="00EA6F2F">
        <w:t xml:space="preserve">37 міжнародних турнірів та змагань; </w:t>
      </w:r>
    </w:p>
    <w:p w:rsidR="00EA6F2F" w:rsidRDefault="00C93312" w:rsidP="007B5FC8">
      <w:pPr>
        <w:ind w:firstLine="708"/>
        <w:jc w:val="both"/>
        <w:rPr>
          <w:lang w:val="uk-UA"/>
        </w:rPr>
      </w:pPr>
      <w:r>
        <w:rPr>
          <w:lang w:val="uk-UA"/>
        </w:rPr>
        <w:t xml:space="preserve">- </w:t>
      </w:r>
      <w:r w:rsidR="00EA6F2F">
        <w:t xml:space="preserve">68 Всеукраїнських змагань; </w:t>
      </w:r>
    </w:p>
    <w:p w:rsidR="00EA6F2F" w:rsidRDefault="00C93312" w:rsidP="007B5FC8">
      <w:pPr>
        <w:ind w:firstLine="708"/>
        <w:jc w:val="both"/>
        <w:rPr>
          <w:lang w:val="uk-UA"/>
        </w:rPr>
      </w:pPr>
      <w:r>
        <w:rPr>
          <w:lang w:val="uk-UA"/>
        </w:rPr>
        <w:t xml:space="preserve">- </w:t>
      </w:r>
      <w:r w:rsidR="00EA6F2F">
        <w:t>284 міськ</w:t>
      </w:r>
      <w:r w:rsidR="00EA6F2F">
        <w:rPr>
          <w:lang w:val="uk-UA"/>
        </w:rPr>
        <w:t>і</w:t>
      </w:r>
      <w:r w:rsidR="00EA6F2F">
        <w:t xml:space="preserve"> змаган</w:t>
      </w:r>
      <w:r w:rsidR="00EA6F2F">
        <w:rPr>
          <w:lang w:val="uk-UA"/>
        </w:rPr>
        <w:t>ня</w:t>
      </w:r>
      <w:r w:rsidR="00EA6F2F">
        <w:t xml:space="preserve">. </w:t>
      </w:r>
    </w:p>
    <w:p w:rsidR="00EA6F2F" w:rsidRDefault="00C93312" w:rsidP="007B5FC8">
      <w:pPr>
        <w:ind w:firstLine="708"/>
        <w:jc w:val="both"/>
        <w:rPr>
          <w:lang w:val="uk-UA"/>
        </w:rPr>
      </w:pPr>
      <w:r>
        <w:rPr>
          <w:lang w:val="uk-UA"/>
        </w:rPr>
        <w:t>У</w:t>
      </w:r>
      <w:r w:rsidR="00EA6F2F">
        <w:t xml:space="preserve"> 2019 році започатковано стипендії міського голови для 30 найкращих спортсменів нашого міста. Відтак щомісяця стипендію міського голови отримують 20 спортсменів з олімпійських та 10 спортсменів з неолімпійських видів спорту. </w:t>
      </w:r>
    </w:p>
    <w:p w:rsidR="00EA6F2F" w:rsidRDefault="00EA6F2F" w:rsidP="007B5FC8">
      <w:pPr>
        <w:ind w:firstLine="708"/>
        <w:jc w:val="both"/>
        <w:rPr>
          <w:lang w:val="uk-UA"/>
        </w:rPr>
      </w:pPr>
      <w:r>
        <w:lastRenderedPageBreak/>
        <w:t xml:space="preserve">11 років поспіль в нашому місті проводиться Всеукраїнський </w:t>
      </w:r>
      <w:r w:rsidR="00C93312">
        <w:rPr>
          <w:lang w:val="uk-UA"/>
        </w:rPr>
        <w:t>в</w:t>
      </w:r>
      <w:r>
        <w:t xml:space="preserve">елодень. З року в рік збільшується кількість учасників заходу, а </w:t>
      </w:r>
      <w:r w:rsidR="00C93312">
        <w:rPr>
          <w:lang w:val="uk-UA"/>
        </w:rPr>
        <w:t>в</w:t>
      </w:r>
      <w:r>
        <w:t xml:space="preserve">елодень 2019 зібрав 2458 учасників і встановив рекорд України. </w:t>
      </w:r>
    </w:p>
    <w:p w:rsidR="00EA6F2F" w:rsidRDefault="00C93312" w:rsidP="007B5FC8">
      <w:pPr>
        <w:ind w:firstLine="708"/>
        <w:jc w:val="both"/>
        <w:rPr>
          <w:lang w:val="uk-UA"/>
        </w:rPr>
      </w:pPr>
      <w:r>
        <w:rPr>
          <w:lang w:val="uk-UA"/>
        </w:rPr>
        <w:t>У</w:t>
      </w:r>
      <w:r w:rsidR="00EA6F2F">
        <w:t xml:space="preserve"> червні Івано-Франківськ вперше приймав 1-й етап кубку Європи з богатирського багатоборства.</w:t>
      </w:r>
    </w:p>
    <w:p w:rsidR="00EA6F2F" w:rsidRDefault="00EA6F2F" w:rsidP="007B5FC8">
      <w:pPr>
        <w:ind w:firstLine="708"/>
        <w:jc w:val="both"/>
        <w:rPr>
          <w:lang w:val="uk-UA"/>
        </w:rPr>
      </w:pPr>
      <w:r>
        <w:rPr>
          <w:lang w:val="uk-UA"/>
        </w:rPr>
        <w:t>Шостий</w:t>
      </w:r>
      <w:r w:rsidRPr="009C5286">
        <w:rPr>
          <w:lang w:val="uk-UA"/>
        </w:rPr>
        <w:t xml:space="preserve"> Франківський Півмарафон</w:t>
      </w:r>
      <w:r>
        <w:rPr>
          <w:lang w:val="uk-UA"/>
        </w:rPr>
        <w:t>, що відбувся цього року, зібрав понад</w:t>
      </w:r>
      <w:r w:rsidRPr="009C5286">
        <w:rPr>
          <w:lang w:val="uk-UA"/>
        </w:rPr>
        <w:t xml:space="preserve"> 1</w:t>
      </w:r>
      <w:r>
        <w:rPr>
          <w:lang w:val="uk-UA"/>
        </w:rPr>
        <w:t>,5 тисячі у</w:t>
      </w:r>
      <w:r w:rsidRPr="009C5286">
        <w:rPr>
          <w:lang w:val="uk-UA"/>
        </w:rPr>
        <w:t>часників</w:t>
      </w:r>
      <w:r>
        <w:rPr>
          <w:lang w:val="uk-UA"/>
        </w:rPr>
        <w:t>. В</w:t>
      </w:r>
      <w:r w:rsidRPr="00FC35A9">
        <w:rPr>
          <w:lang w:val="uk-UA"/>
        </w:rPr>
        <w:t xml:space="preserve">перше проведено </w:t>
      </w:r>
      <w:r w:rsidR="00D24A0C" w:rsidRPr="00FC35A9">
        <w:rPr>
          <w:lang w:val="uk-UA"/>
        </w:rPr>
        <w:t>"</w:t>
      </w:r>
      <w:r w:rsidRPr="00FC35A9">
        <w:rPr>
          <w:lang w:val="uk-UA"/>
        </w:rPr>
        <w:t>Вишиванка</w:t>
      </w:r>
      <w:r>
        <w:t>Run</w:t>
      </w:r>
      <w:r w:rsidR="00D24A0C">
        <w:rPr>
          <w:lang w:val="uk-UA"/>
        </w:rPr>
        <w:t>"</w:t>
      </w:r>
      <w:r>
        <w:rPr>
          <w:lang w:val="uk-UA"/>
        </w:rPr>
        <w:t xml:space="preserve"> - б</w:t>
      </w:r>
      <w:r w:rsidRPr="00FC35A9">
        <w:rPr>
          <w:lang w:val="uk-UA"/>
        </w:rPr>
        <w:t xml:space="preserve">лагодійний забіг, присвячений Дню Незалежності України. Вже 23-й рік поспіль Івано-Франківськ приймав престижні змагання зі спортивної ходьби Кубок </w:t>
      </w:r>
      <w:r w:rsidR="00D24A0C" w:rsidRPr="00FC35A9">
        <w:rPr>
          <w:lang w:val="uk-UA"/>
        </w:rPr>
        <w:t>"</w:t>
      </w:r>
      <w:r w:rsidRPr="00FC35A9">
        <w:rPr>
          <w:lang w:val="uk-UA"/>
        </w:rPr>
        <w:t>Вечірній ІваноФранківськ</w:t>
      </w:r>
      <w:r w:rsidR="00D24A0C" w:rsidRPr="00FC35A9">
        <w:rPr>
          <w:lang w:val="uk-UA"/>
        </w:rPr>
        <w:t>"</w:t>
      </w:r>
      <w:r w:rsidRPr="00FC35A9">
        <w:rPr>
          <w:lang w:val="uk-UA"/>
        </w:rPr>
        <w:t xml:space="preserve">. </w:t>
      </w:r>
      <w:r>
        <w:t xml:space="preserve">Завдяки сертифікату ІААФ саме в нашому місті спортсмени мали нагоду виконати олімпійський норматив. </w:t>
      </w:r>
    </w:p>
    <w:p w:rsidR="00C41EA1" w:rsidRPr="00C41EA1" w:rsidRDefault="00C41EA1" w:rsidP="007B5FC8">
      <w:pPr>
        <w:ind w:firstLine="708"/>
        <w:jc w:val="both"/>
        <w:rPr>
          <w:lang w:val="uk-UA"/>
        </w:rPr>
      </w:pPr>
      <w:r>
        <w:t xml:space="preserve">23 травня на стадіоні </w:t>
      </w:r>
      <w:r w:rsidR="00D24A0C">
        <w:t>"</w:t>
      </w:r>
      <w:r>
        <w:t>Рух</w:t>
      </w:r>
      <w:r w:rsidR="00D24A0C">
        <w:t>"</w:t>
      </w:r>
      <w:r>
        <w:t xml:space="preserve"> відбувся міжнародний товариський матч. МФК </w:t>
      </w:r>
      <w:r w:rsidR="00D24A0C">
        <w:t>"</w:t>
      </w:r>
      <w:r>
        <w:t>Прикарпаття</w:t>
      </w:r>
      <w:r w:rsidR="00D24A0C">
        <w:t>"</w:t>
      </w:r>
      <w:r>
        <w:t xml:space="preserve"> зіграло з португальською </w:t>
      </w:r>
      <w:r w:rsidR="00D24A0C">
        <w:t>"</w:t>
      </w:r>
      <w:r>
        <w:t>Брагою</w:t>
      </w:r>
      <w:r w:rsidR="00D24A0C">
        <w:t>"</w:t>
      </w:r>
      <w:r w:rsidR="00C93312">
        <w:rPr>
          <w:lang w:val="uk-UA"/>
        </w:rPr>
        <w:t>.</w:t>
      </w:r>
      <w:r>
        <w:t xml:space="preserve"> Наша команда хоча і програла 2:1, але співпраця з португальцями триває по сьогоднішній час. Особливої уваги заслуговує той факт, що </w:t>
      </w:r>
      <w:r w:rsidR="00C93312">
        <w:rPr>
          <w:lang w:val="uk-UA"/>
        </w:rPr>
        <w:t>к</w:t>
      </w:r>
      <w:r>
        <w:t xml:space="preserve">оманда </w:t>
      </w:r>
      <w:r w:rsidR="00C93312">
        <w:rPr>
          <w:lang w:val="uk-UA"/>
        </w:rPr>
        <w:t>р</w:t>
      </w:r>
      <w:r>
        <w:t xml:space="preserve">ідного </w:t>
      </w:r>
      <w:r w:rsidR="00C93312">
        <w:rPr>
          <w:lang w:val="uk-UA"/>
        </w:rPr>
        <w:t>к</w:t>
      </w:r>
      <w:r>
        <w:t xml:space="preserve">раю є однією з </w:t>
      </w:r>
      <w:r w:rsidR="00AF7231">
        <w:t>найбільш відвідуваних в Україні</w:t>
      </w:r>
      <w:r w:rsidR="00AF7231">
        <w:rPr>
          <w:lang w:val="uk-UA"/>
        </w:rPr>
        <w:t>.</w:t>
      </w:r>
      <w:r>
        <w:t xml:space="preserve"> За останні кілька сезонів </w:t>
      </w:r>
      <w:r w:rsidR="00D24A0C">
        <w:t>"</w:t>
      </w:r>
      <w:r>
        <w:t>Прикарпаття</w:t>
      </w:r>
      <w:r w:rsidR="00D24A0C">
        <w:t>"</w:t>
      </w:r>
      <w:r>
        <w:t xml:space="preserve"> підтримувало більше 139 тисяч вболівальників</w:t>
      </w:r>
      <w:r w:rsidR="00AF7231">
        <w:rPr>
          <w:lang w:val="uk-UA"/>
        </w:rPr>
        <w:t>.</w:t>
      </w:r>
      <w:r>
        <w:t xml:space="preserve"> А ще в 2019 році в нашому місті відбувся І-й футбольний турнір на Кубок міського голови серед жіночих команд.</w:t>
      </w:r>
    </w:p>
    <w:p w:rsidR="00EA6F2F" w:rsidRDefault="00EA6F2F" w:rsidP="007B5FC8">
      <w:pPr>
        <w:ind w:firstLine="708"/>
        <w:jc w:val="both"/>
        <w:rPr>
          <w:lang w:val="uk-UA"/>
        </w:rPr>
      </w:pPr>
      <w:r w:rsidRPr="009C5286">
        <w:rPr>
          <w:lang w:val="uk-UA"/>
        </w:rPr>
        <w:t>Франківськими спортсменами впродовж року було завойовано більше 90 медалей на міжнародних змаганнях</w:t>
      </w:r>
      <w:r>
        <w:rPr>
          <w:lang w:val="uk-UA"/>
        </w:rPr>
        <w:t xml:space="preserve">, зокрема вони </w:t>
      </w:r>
      <w:r w:rsidRPr="009C5286">
        <w:rPr>
          <w:lang w:val="uk-UA"/>
        </w:rPr>
        <w:t>стали чемпіонами світу та Європи з легкої атлетики, боксу, таеквон-до, хортингу, шашок, шахів більярдного спорту, фітнесу, джиу-джитсу.</w:t>
      </w:r>
    </w:p>
    <w:p w:rsidR="00EA6F2F" w:rsidRDefault="00EA6F2F" w:rsidP="007B5FC8">
      <w:pPr>
        <w:ind w:firstLine="708"/>
        <w:jc w:val="both"/>
        <w:rPr>
          <w:lang w:val="uk-UA"/>
        </w:rPr>
      </w:pPr>
      <w:r>
        <w:rPr>
          <w:lang w:val="uk-UA"/>
        </w:rPr>
        <w:t xml:space="preserve">Параолімпійці з Івано-Франківська </w:t>
      </w:r>
      <w:r w:rsidRPr="009C5286">
        <w:rPr>
          <w:lang w:val="uk-UA"/>
        </w:rPr>
        <w:t>Юлія Шуляр та Павло Волуйкевич завдяки успішному виступу на чемпіонаті світу вибороли ліцензії на Паралімпійські ігри-2020.</w:t>
      </w:r>
    </w:p>
    <w:p w:rsidR="00EA6F2F" w:rsidRDefault="00EA6F2F" w:rsidP="007B5FC8">
      <w:pPr>
        <w:ind w:firstLine="708"/>
        <w:jc w:val="both"/>
        <w:rPr>
          <w:lang w:val="uk-UA"/>
        </w:rPr>
      </w:pPr>
      <w:r>
        <w:t xml:space="preserve">Міським центром </w:t>
      </w:r>
      <w:r w:rsidR="00D24A0C">
        <w:t>"</w:t>
      </w:r>
      <w:r>
        <w:t>Спорт для всіх</w:t>
      </w:r>
      <w:r w:rsidR="00D24A0C">
        <w:t>"</w:t>
      </w:r>
      <w:r>
        <w:t xml:space="preserve"> постійно проводяться спортивномасові заходи для залучення великої кількості осіб різних вікових груп </w:t>
      </w:r>
      <w:proofErr w:type="gramStart"/>
      <w:r>
        <w:t>до активного способу</w:t>
      </w:r>
      <w:proofErr w:type="gramEnd"/>
      <w:r>
        <w:t xml:space="preserve"> життя. Впродовж 2019 року проведено понад 100 різноманітних заходів, участь в яких взяли понад 8000 тисяч мешканців нашого міста, що на 30% більше</w:t>
      </w:r>
      <w:r w:rsidR="00AF7231">
        <w:rPr>
          <w:lang w:val="uk-UA"/>
        </w:rPr>
        <w:t>,</w:t>
      </w:r>
      <w:r>
        <w:t xml:space="preserve"> ніж в 2018 році.</w:t>
      </w:r>
    </w:p>
    <w:p w:rsidR="00EA6F2F" w:rsidRDefault="00EA6F2F" w:rsidP="007B5FC8">
      <w:pPr>
        <w:ind w:firstLine="708"/>
        <w:jc w:val="both"/>
        <w:rPr>
          <w:lang w:val="uk-UA"/>
        </w:rPr>
      </w:pPr>
      <w:r w:rsidRPr="009C5286">
        <w:rPr>
          <w:lang w:val="uk-UA"/>
        </w:rPr>
        <w:t xml:space="preserve">Міським центром </w:t>
      </w:r>
      <w:r w:rsidR="00D24A0C" w:rsidRPr="009C5286">
        <w:rPr>
          <w:lang w:val="uk-UA"/>
        </w:rPr>
        <w:t>"</w:t>
      </w:r>
      <w:r w:rsidRPr="009C5286">
        <w:rPr>
          <w:lang w:val="uk-UA"/>
        </w:rPr>
        <w:t>Інваспорт</w:t>
      </w:r>
      <w:r w:rsidR="00D24A0C" w:rsidRPr="009C5286">
        <w:rPr>
          <w:lang w:val="uk-UA"/>
        </w:rPr>
        <w:t>"</w:t>
      </w:r>
      <w:r w:rsidRPr="009C5286">
        <w:rPr>
          <w:lang w:val="uk-UA"/>
        </w:rPr>
        <w:t xml:space="preserve"> проведено 67 спортивно-масових заходи в яких взяли участь 1560 осіб з інвалідністю різних вікових груп</w:t>
      </w:r>
      <w:r>
        <w:rPr>
          <w:lang w:val="uk-UA"/>
        </w:rPr>
        <w:t>, зокрема</w:t>
      </w:r>
      <w:r w:rsidRPr="009C5286">
        <w:rPr>
          <w:lang w:val="uk-UA"/>
        </w:rPr>
        <w:t xml:space="preserve">: спортивні ігри та розваги, спортивні естафети, міські змагання </w:t>
      </w:r>
      <w:r w:rsidR="00D24A0C" w:rsidRPr="009C5286">
        <w:rPr>
          <w:lang w:val="uk-UA"/>
        </w:rPr>
        <w:t>"</w:t>
      </w:r>
      <w:r w:rsidRPr="009C5286">
        <w:rPr>
          <w:lang w:val="uk-UA"/>
        </w:rPr>
        <w:t>Повір у себе</w:t>
      </w:r>
      <w:r w:rsidR="00D24A0C" w:rsidRPr="009C5286">
        <w:rPr>
          <w:lang w:val="uk-UA"/>
        </w:rPr>
        <w:t>"</w:t>
      </w:r>
      <w:r w:rsidRPr="009C5286">
        <w:rPr>
          <w:lang w:val="uk-UA"/>
        </w:rPr>
        <w:t xml:space="preserve"> з плавання, легкої атлетики та шашок, відкриті міські турніри з гри Бочча, гирьового спорту, шахів, шашок, армспорту, міні-футболу та настільного тенісу. </w:t>
      </w:r>
      <w:r>
        <w:t xml:space="preserve">Діти з особливими потребами міста Івано-Франківська приймали участь у обласних змаганнях за програмою спартакіади </w:t>
      </w:r>
      <w:r w:rsidR="00D24A0C">
        <w:t>"</w:t>
      </w:r>
      <w:r>
        <w:t xml:space="preserve">Повір </w:t>
      </w:r>
      <w:proofErr w:type="gramStart"/>
      <w:r>
        <w:t>у себе</w:t>
      </w:r>
      <w:proofErr w:type="gramEnd"/>
      <w:r w:rsidR="00D24A0C">
        <w:t>"</w:t>
      </w:r>
      <w:r>
        <w:t xml:space="preserve"> з плавання (УОРА), спортивного орієнтування (вади слуху), легкої атлетики (вади слуху, вади розумового та фізичного розвитку).</w:t>
      </w:r>
      <w:r>
        <w:rPr>
          <w:lang w:val="uk-UA"/>
        </w:rPr>
        <w:t xml:space="preserve"> </w:t>
      </w:r>
    </w:p>
    <w:p w:rsidR="00411C3C" w:rsidRDefault="00411C3C" w:rsidP="007B5FC8">
      <w:pPr>
        <w:ind w:firstLine="708"/>
        <w:jc w:val="both"/>
        <w:rPr>
          <w:lang w:val="uk-UA"/>
        </w:rPr>
      </w:pPr>
      <w:r>
        <w:rPr>
          <w:lang w:val="uk-UA"/>
        </w:rPr>
        <w:t>Протягом 2019 року проводилсь роботи з покращення стану фізкультурно-спортивних закладів міста, а саме:</w:t>
      </w:r>
    </w:p>
    <w:p w:rsidR="00411C3C" w:rsidRDefault="00411C3C" w:rsidP="007B5FC8">
      <w:pPr>
        <w:ind w:firstLine="708"/>
        <w:jc w:val="both"/>
        <w:rPr>
          <w:lang w:val="uk-UA"/>
        </w:rPr>
      </w:pPr>
      <w:r>
        <w:rPr>
          <w:lang w:val="uk-UA"/>
        </w:rPr>
        <w:t>- з</w:t>
      </w:r>
      <w:r>
        <w:t>авершено роботи з капітального ремонту спортивного залу Муніципального Центру дозвілля по вул. Набережній ім. В. Стефаника, 42</w:t>
      </w:r>
      <w:r>
        <w:rPr>
          <w:lang w:val="uk-UA"/>
        </w:rPr>
        <w:t>;</w:t>
      </w:r>
    </w:p>
    <w:p w:rsidR="00411C3C" w:rsidRDefault="00411C3C" w:rsidP="007B5FC8">
      <w:pPr>
        <w:ind w:firstLine="708"/>
        <w:jc w:val="both"/>
        <w:rPr>
          <w:lang w:val="uk-UA"/>
        </w:rPr>
      </w:pPr>
      <w:r>
        <w:rPr>
          <w:lang w:val="uk-UA"/>
        </w:rPr>
        <w:lastRenderedPageBreak/>
        <w:t>-</w:t>
      </w:r>
      <w:r>
        <w:t xml:space="preserve"> </w:t>
      </w:r>
      <w:r>
        <w:rPr>
          <w:lang w:val="uk-UA"/>
        </w:rPr>
        <w:t>т</w:t>
      </w:r>
      <w:r>
        <w:t xml:space="preserve">ривають роботи з нового будівництва футбольного поля у м. ІваноФранківську (в районі Пасічної поблизу </w:t>
      </w:r>
      <w:r>
        <w:rPr>
          <w:lang w:val="uk-UA"/>
        </w:rPr>
        <w:t>"Н</w:t>
      </w:r>
      <w:r>
        <w:t>імецького озера</w:t>
      </w:r>
      <w:r>
        <w:rPr>
          <w:lang w:val="uk-UA"/>
        </w:rPr>
        <w:t>"</w:t>
      </w:r>
      <w:r>
        <w:t>). Проект передбачає будівництво футбольного поля з штучним покриттям</w:t>
      </w:r>
      <w:r>
        <w:rPr>
          <w:lang w:val="uk-UA"/>
        </w:rPr>
        <w:t>;</w:t>
      </w:r>
    </w:p>
    <w:p w:rsidR="00411C3C" w:rsidRDefault="00411C3C" w:rsidP="007B5FC8">
      <w:pPr>
        <w:ind w:firstLine="708"/>
        <w:jc w:val="both"/>
        <w:rPr>
          <w:lang w:val="uk-UA"/>
        </w:rPr>
      </w:pPr>
      <w:r>
        <w:rPr>
          <w:lang w:val="uk-UA"/>
        </w:rPr>
        <w:t>- н</w:t>
      </w:r>
      <w:r>
        <w:t xml:space="preserve">а території спорткомплексу на вулиці Симоненка, 13 в роботі будівництво басейну розміром 25х12 метрів, який, згідно з проектною документацією, буде мати 6 доріжок для плавання та пристосований для змагань міжнародного класу. Трибуни вміщуватимуть 120 глядачів. Крім того, додатково облаштують тренажерний зал, службові приміщення, роздягальні, душові, </w:t>
      </w:r>
      <w:r w:rsidR="00111F7B">
        <w:t>кімнату для медичного персонал</w:t>
      </w:r>
      <w:r w:rsidR="00111F7B">
        <w:rPr>
          <w:lang w:val="uk-UA"/>
        </w:rPr>
        <w:t>;</w:t>
      </w:r>
    </w:p>
    <w:p w:rsidR="00111F7B" w:rsidRDefault="00111F7B" w:rsidP="007B5FC8">
      <w:pPr>
        <w:ind w:firstLine="708"/>
        <w:jc w:val="both"/>
        <w:rPr>
          <w:lang w:val="uk-UA"/>
        </w:rPr>
      </w:pPr>
      <w:r>
        <w:rPr>
          <w:lang w:val="uk-UA"/>
        </w:rPr>
        <w:t>- п</w:t>
      </w:r>
      <w:r>
        <w:t>роводяться роботи з будівництва комплексного спортивного майданчика для ігрових видів спорту в районі вул. Симонен</w:t>
      </w:r>
      <w:r w:rsidR="00AF7231">
        <w:t>ка, 3в – Вовчинецька, 202в. Про</w:t>
      </w:r>
      <w:r w:rsidR="00AF7231">
        <w:rPr>
          <w:lang w:val="uk-UA"/>
        </w:rPr>
        <w:t>є</w:t>
      </w:r>
      <w:r>
        <w:t xml:space="preserve">ктом передбачено влаштування на майданчику нове покриття із наливного поліуретану, а для футбольного поля влаштування покриття із штучної трави. Буде </w:t>
      </w:r>
      <w:r w:rsidR="00AF7231">
        <w:rPr>
          <w:lang w:val="uk-UA"/>
        </w:rPr>
        <w:t>облаштовано</w:t>
      </w:r>
      <w:r>
        <w:t xml:space="preserve"> спортивн</w:t>
      </w:r>
      <w:r w:rsidR="00AF7231">
        <w:rPr>
          <w:lang w:val="uk-UA"/>
        </w:rPr>
        <w:t>у</w:t>
      </w:r>
      <w:r w:rsidR="00AF7231">
        <w:t xml:space="preserve"> площ</w:t>
      </w:r>
      <w:r w:rsidR="00AF7231">
        <w:rPr>
          <w:lang w:val="uk-UA"/>
        </w:rPr>
        <w:t>у</w:t>
      </w:r>
      <w:r>
        <w:t xml:space="preserve"> для гри у</w:t>
      </w:r>
      <w:r w:rsidR="001E26D7">
        <w:t>:</w:t>
      </w:r>
      <w:r>
        <w:t xml:space="preserve"> футбол</w:t>
      </w:r>
      <w:r w:rsidR="001E26D7">
        <w:rPr>
          <w:lang w:val="uk-UA"/>
        </w:rPr>
        <w:t>,</w:t>
      </w:r>
      <w:r>
        <w:t xml:space="preserve"> баскетбол</w:t>
      </w:r>
      <w:r w:rsidR="001E26D7">
        <w:rPr>
          <w:lang w:val="uk-UA"/>
        </w:rPr>
        <w:t>,</w:t>
      </w:r>
      <w:r>
        <w:t xml:space="preserve"> волейбол</w:t>
      </w:r>
      <w:r w:rsidR="001E26D7">
        <w:rPr>
          <w:lang w:val="uk-UA"/>
        </w:rPr>
        <w:t xml:space="preserve"> та</w:t>
      </w:r>
      <w:r>
        <w:t xml:space="preserve"> теніс. Також буде влаштовано дві спортивні площадки для тренажерів, одна з яких для інвалідів</w:t>
      </w:r>
      <w:r>
        <w:rPr>
          <w:lang w:val="uk-UA"/>
        </w:rPr>
        <w:t>;</w:t>
      </w:r>
    </w:p>
    <w:p w:rsidR="00111F7B" w:rsidRDefault="00111F7B" w:rsidP="007B5FC8">
      <w:pPr>
        <w:ind w:firstLine="708"/>
        <w:jc w:val="both"/>
        <w:rPr>
          <w:lang w:val="uk-UA"/>
        </w:rPr>
      </w:pPr>
      <w:r>
        <w:rPr>
          <w:lang w:val="uk-UA"/>
        </w:rPr>
        <w:t>-</w:t>
      </w:r>
      <w:r>
        <w:t xml:space="preserve"> </w:t>
      </w:r>
      <w:r>
        <w:rPr>
          <w:lang w:val="uk-UA"/>
        </w:rPr>
        <w:t>р</w:t>
      </w:r>
      <w:r w:rsidR="00AF7231">
        <w:t>озробляється про</w:t>
      </w:r>
      <w:r w:rsidR="00AF7231">
        <w:rPr>
          <w:lang w:val="uk-UA"/>
        </w:rPr>
        <w:t>є</w:t>
      </w:r>
      <w:r>
        <w:t xml:space="preserve">ктно-кошторисна документація на реконструкцію фізкультурно-оздоровчого комплексу </w:t>
      </w:r>
      <w:r w:rsidR="00D24A0C">
        <w:t>"</w:t>
      </w:r>
      <w:r>
        <w:t>Електрон</w:t>
      </w:r>
      <w:r w:rsidR="00D24A0C">
        <w:t>"</w:t>
      </w:r>
      <w:r w:rsidR="00AF7231">
        <w:rPr>
          <w:lang w:val="uk-UA"/>
        </w:rPr>
        <w:t>,</w:t>
      </w:r>
      <w:r>
        <w:t xml:space="preserve"> що знаходиться на вул. С.Бандери, 12А. </w:t>
      </w:r>
    </w:p>
    <w:p w:rsidR="00FC72E2" w:rsidRPr="00FC72E2" w:rsidRDefault="00FC72E2" w:rsidP="007B5FC8">
      <w:pPr>
        <w:ind w:firstLine="708"/>
        <w:jc w:val="both"/>
        <w:rPr>
          <w:lang w:val="uk-UA"/>
        </w:rPr>
      </w:pPr>
    </w:p>
    <w:p w:rsidR="007B5FC8" w:rsidRPr="00CE197A" w:rsidRDefault="007B5FC8" w:rsidP="007B5FC8">
      <w:pPr>
        <w:pStyle w:val="a7"/>
        <w:tabs>
          <w:tab w:val="left" w:pos="709"/>
        </w:tabs>
        <w:spacing w:after="0"/>
        <w:jc w:val="both"/>
        <w:outlineLvl w:val="0"/>
        <w:rPr>
          <w:bCs/>
          <w:i/>
          <w:sz w:val="28"/>
          <w:szCs w:val="28"/>
          <w:lang w:val="uk-UA"/>
        </w:rPr>
      </w:pPr>
      <w:r w:rsidRPr="00CE197A">
        <w:rPr>
          <w:bCs/>
          <w:i/>
          <w:sz w:val="28"/>
          <w:szCs w:val="28"/>
          <w:lang w:val="uk-UA"/>
        </w:rPr>
        <w:t xml:space="preserve"> 4.6. Ринок праці та зайнятість населення</w:t>
      </w:r>
    </w:p>
    <w:p w:rsidR="007B5FC8" w:rsidRPr="00CE197A" w:rsidRDefault="007B5FC8" w:rsidP="007B5FC8">
      <w:pPr>
        <w:pStyle w:val="a7"/>
        <w:tabs>
          <w:tab w:val="left" w:pos="709"/>
        </w:tabs>
        <w:spacing w:after="0"/>
        <w:ind w:left="0"/>
        <w:jc w:val="both"/>
        <w:outlineLvl w:val="0"/>
        <w:rPr>
          <w:sz w:val="28"/>
          <w:szCs w:val="28"/>
          <w:lang w:val="uk-UA"/>
        </w:rPr>
      </w:pPr>
      <w:r w:rsidRPr="00CE197A">
        <w:rPr>
          <w:sz w:val="28"/>
          <w:szCs w:val="28"/>
          <w:lang w:val="uk-UA"/>
        </w:rPr>
        <w:tab/>
        <w:t>Кількість зареєстрованих безроб</w:t>
      </w:r>
      <w:r w:rsidR="00CE197A" w:rsidRPr="00CE197A">
        <w:rPr>
          <w:sz w:val="28"/>
          <w:szCs w:val="28"/>
          <w:lang w:val="uk-UA"/>
        </w:rPr>
        <w:t>ітних на кінець грудня 2019</w:t>
      </w:r>
      <w:r w:rsidR="00AF7231">
        <w:rPr>
          <w:sz w:val="28"/>
          <w:szCs w:val="28"/>
          <w:lang w:val="uk-UA"/>
        </w:rPr>
        <w:t xml:space="preserve"> року</w:t>
      </w:r>
      <w:r w:rsidRPr="00CE197A">
        <w:rPr>
          <w:sz w:val="28"/>
          <w:szCs w:val="28"/>
          <w:lang w:val="uk-UA"/>
        </w:rPr>
        <w:t xml:space="preserve"> становила </w:t>
      </w:r>
      <w:r w:rsidR="00CE197A" w:rsidRPr="00CE197A">
        <w:rPr>
          <w:sz w:val="28"/>
          <w:szCs w:val="28"/>
          <w:lang w:val="uk-UA"/>
        </w:rPr>
        <w:t>1497</w:t>
      </w:r>
      <w:r w:rsidRPr="00CE197A">
        <w:rPr>
          <w:sz w:val="28"/>
          <w:szCs w:val="28"/>
          <w:lang w:val="uk-UA"/>
        </w:rPr>
        <w:t xml:space="preserve"> ос</w:t>
      </w:r>
      <w:r w:rsidR="00CE197A" w:rsidRPr="00CE197A">
        <w:rPr>
          <w:sz w:val="28"/>
          <w:szCs w:val="28"/>
          <w:lang w:val="uk-UA"/>
        </w:rPr>
        <w:t>і</w:t>
      </w:r>
      <w:r w:rsidRPr="00CE197A">
        <w:rPr>
          <w:sz w:val="28"/>
          <w:szCs w:val="28"/>
          <w:lang w:val="uk-UA"/>
        </w:rPr>
        <w:t xml:space="preserve">б, з них допомогу по безробіттю отримували </w:t>
      </w:r>
      <w:r w:rsidR="00CE197A" w:rsidRPr="00CE197A">
        <w:rPr>
          <w:sz w:val="28"/>
          <w:szCs w:val="28"/>
          <w:lang w:val="uk-UA"/>
        </w:rPr>
        <w:t>88,3</w:t>
      </w:r>
      <w:r w:rsidRPr="00CE197A">
        <w:rPr>
          <w:sz w:val="28"/>
          <w:szCs w:val="28"/>
          <w:lang w:val="uk-UA"/>
        </w:rPr>
        <w:t>%. Із загальної кількості безробітних 6</w:t>
      </w:r>
      <w:r w:rsidR="00CE197A" w:rsidRPr="00CE197A">
        <w:rPr>
          <w:sz w:val="28"/>
          <w:szCs w:val="28"/>
          <w:lang w:val="uk-UA"/>
        </w:rPr>
        <w:t>3</w:t>
      </w:r>
      <w:r w:rsidRPr="00CE197A">
        <w:rPr>
          <w:sz w:val="28"/>
          <w:szCs w:val="28"/>
          <w:lang w:val="uk-UA"/>
        </w:rPr>
        <w:t>,3% складали жінки, 41,</w:t>
      </w:r>
      <w:r w:rsidR="00CE197A" w:rsidRPr="00CE197A">
        <w:rPr>
          <w:sz w:val="28"/>
          <w:szCs w:val="28"/>
          <w:lang w:val="uk-UA"/>
        </w:rPr>
        <w:t>7</w:t>
      </w:r>
      <w:r w:rsidRPr="00CE197A">
        <w:rPr>
          <w:sz w:val="28"/>
          <w:szCs w:val="28"/>
          <w:lang w:val="uk-UA"/>
        </w:rPr>
        <w:t xml:space="preserve">% – молодь у віці до 35 років. </w:t>
      </w:r>
    </w:p>
    <w:p w:rsidR="007B5FC8" w:rsidRPr="00920174" w:rsidRDefault="007B5FC8" w:rsidP="007B5FC8">
      <w:pPr>
        <w:pStyle w:val="a7"/>
        <w:tabs>
          <w:tab w:val="left" w:pos="709"/>
        </w:tabs>
        <w:spacing w:after="0"/>
        <w:ind w:left="0"/>
        <w:jc w:val="both"/>
        <w:outlineLvl w:val="0"/>
        <w:rPr>
          <w:i/>
          <w:lang w:val="uk-UA"/>
        </w:rPr>
      </w:pPr>
      <w:r w:rsidRPr="00920174">
        <w:rPr>
          <w:i/>
          <w:lang w:val="uk-UA"/>
        </w:rPr>
        <w:t>Структура зареєстрованих безробітних за окремими соціальними групами:</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03"/>
        <w:gridCol w:w="1276"/>
        <w:gridCol w:w="1418"/>
        <w:gridCol w:w="1275"/>
      </w:tblGrid>
      <w:tr w:rsidR="007B5FC8" w:rsidRPr="00CE197A" w:rsidTr="007B5FC8">
        <w:trPr>
          <w:cantSplit/>
        </w:trPr>
        <w:tc>
          <w:tcPr>
            <w:tcW w:w="5103" w:type="dxa"/>
            <w:vMerge w:val="restart"/>
          </w:tcPr>
          <w:p w:rsidR="007B5FC8" w:rsidRPr="00CE197A" w:rsidRDefault="007B5FC8" w:rsidP="007B5FC8">
            <w:pPr>
              <w:jc w:val="both"/>
              <w:rPr>
                <w:sz w:val="24"/>
                <w:szCs w:val="24"/>
                <w:lang w:val="uk-UA"/>
              </w:rPr>
            </w:pPr>
          </w:p>
          <w:p w:rsidR="007B5FC8" w:rsidRPr="00CE197A" w:rsidRDefault="007B5FC8" w:rsidP="007B5FC8">
            <w:pPr>
              <w:jc w:val="both"/>
              <w:rPr>
                <w:sz w:val="24"/>
                <w:szCs w:val="24"/>
                <w:lang w:val="uk-UA"/>
              </w:rPr>
            </w:pPr>
          </w:p>
          <w:p w:rsidR="007B5FC8" w:rsidRPr="00CE197A" w:rsidRDefault="007B5FC8" w:rsidP="007B5FC8">
            <w:pPr>
              <w:jc w:val="both"/>
              <w:rPr>
                <w:sz w:val="24"/>
                <w:szCs w:val="24"/>
                <w:lang w:val="uk-UA"/>
              </w:rPr>
            </w:pPr>
          </w:p>
          <w:p w:rsidR="007B5FC8" w:rsidRPr="00CE197A" w:rsidRDefault="007B5FC8" w:rsidP="007B5FC8">
            <w:pPr>
              <w:jc w:val="both"/>
              <w:rPr>
                <w:sz w:val="24"/>
                <w:szCs w:val="24"/>
                <w:lang w:val="uk-UA"/>
              </w:rPr>
            </w:pPr>
          </w:p>
        </w:tc>
        <w:tc>
          <w:tcPr>
            <w:tcW w:w="3969" w:type="dxa"/>
            <w:gridSpan w:val="3"/>
            <w:vAlign w:val="center"/>
          </w:tcPr>
          <w:p w:rsidR="007B5FC8" w:rsidRPr="00CE197A" w:rsidRDefault="007B5FC8" w:rsidP="00CE197A">
            <w:pPr>
              <w:jc w:val="center"/>
              <w:rPr>
                <w:sz w:val="24"/>
                <w:szCs w:val="24"/>
                <w:lang w:val="uk-UA"/>
              </w:rPr>
            </w:pPr>
            <w:r w:rsidRPr="00CE197A">
              <w:rPr>
                <w:sz w:val="24"/>
                <w:szCs w:val="24"/>
                <w:lang w:val="uk-UA"/>
              </w:rPr>
              <w:t>Кількість  зареєстрованих  безробітних на кінець грудня 201</w:t>
            </w:r>
            <w:r w:rsidR="00CE197A" w:rsidRPr="00CE197A">
              <w:rPr>
                <w:sz w:val="24"/>
                <w:szCs w:val="24"/>
                <w:lang w:val="uk-UA"/>
              </w:rPr>
              <w:t>9</w:t>
            </w:r>
            <w:r w:rsidRPr="00CE197A">
              <w:rPr>
                <w:sz w:val="24"/>
                <w:szCs w:val="24"/>
                <w:lang w:val="uk-UA"/>
              </w:rPr>
              <w:t>р.</w:t>
            </w:r>
          </w:p>
        </w:tc>
      </w:tr>
      <w:tr w:rsidR="007B5FC8" w:rsidRPr="00CE197A" w:rsidTr="007B5FC8">
        <w:trPr>
          <w:cantSplit/>
          <w:trHeight w:val="283"/>
        </w:trPr>
        <w:tc>
          <w:tcPr>
            <w:tcW w:w="5103" w:type="dxa"/>
            <w:vMerge/>
          </w:tcPr>
          <w:p w:rsidR="007B5FC8" w:rsidRPr="00CE197A" w:rsidRDefault="007B5FC8" w:rsidP="007B5FC8">
            <w:pPr>
              <w:jc w:val="both"/>
              <w:rPr>
                <w:sz w:val="24"/>
                <w:szCs w:val="24"/>
                <w:lang w:val="uk-UA"/>
              </w:rPr>
            </w:pPr>
          </w:p>
        </w:tc>
        <w:tc>
          <w:tcPr>
            <w:tcW w:w="1276" w:type="dxa"/>
            <w:vMerge w:val="restart"/>
            <w:vAlign w:val="center"/>
          </w:tcPr>
          <w:p w:rsidR="007B5FC8" w:rsidRPr="00CE197A" w:rsidRDefault="007B5FC8" w:rsidP="007B5FC8">
            <w:pPr>
              <w:jc w:val="center"/>
              <w:rPr>
                <w:sz w:val="24"/>
                <w:szCs w:val="24"/>
                <w:lang w:val="uk-UA"/>
              </w:rPr>
            </w:pPr>
            <w:r w:rsidRPr="00CE197A">
              <w:rPr>
                <w:sz w:val="24"/>
                <w:szCs w:val="24"/>
                <w:lang w:val="uk-UA"/>
              </w:rPr>
              <w:t>осіб</w:t>
            </w:r>
          </w:p>
        </w:tc>
        <w:tc>
          <w:tcPr>
            <w:tcW w:w="2693" w:type="dxa"/>
            <w:gridSpan w:val="2"/>
            <w:vAlign w:val="center"/>
          </w:tcPr>
          <w:p w:rsidR="007B5FC8" w:rsidRPr="00CE197A" w:rsidRDefault="007B5FC8" w:rsidP="007B5FC8">
            <w:pPr>
              <w:ind w:firstLine="108"/>
              <w:jc w:val="center"/>
              <w:rPr>
                <w:sz w:val="24"/>
                <w:szCs w:val="24"/>
                <w:lang w:val="uk-UA"/>
              </w:rPr>
            </w:pPr>
            <w:r w:rsidRPr="00CE197A">
              <w:rPr>
                <w:sz w:val="24"/>
                <w:szCs w:val="24"/>
                <w:lang w:val="uk-UA"/>
              </w:rPr>
              <w:t>у % до</w:t>
            </w:r>
          </w:p>
        </w:tc>
      </w:tr>
      <w:tr w:rsidR="007B5FC8" w:rsidRPr="00CE197A" w:rsidTr="007B5FC8">
        <w:trPr>
          <w:cantSplit/>
          <w:trHeight w:val="283"/>
        </w:trPr>
        <w:tc>
          <w:tcPr>
            <w:tcW w:w="5103" w:type="dxa"/>
            <w:vMerge/>
          </w:tcPr>
          <w:p w:rsidR="007B5FC8" w:rsidRPr="00CE197A" w:rsidRDefault="007B5FC8" w:rsidP="007B5FC8">
            <w:pPr>
              <w:jc w:val="both"/>
              <w:rPr>
                <w:sz w:val="24"/>
                <w:szCs w:val="24"/>
                <w:lang w:val="uk-UA"/>
              </w:rPr>
            </w:pPr>
          </w:p>
        </w:tc>
        <w:tc>
          <w:tcPr>
            <w:tcW w:w="1276" w:type="dxa"/>
            <w:vMerge/>
            <w:vAlign w:val="center"/>
          </w:tcPr>
          <w:p w:rsidR="007B5FC8" w:rsidRPr="00CE197A" w:rsidRDefault="007B5FC8" w:rsidP="007B5FC8">
            <w:pPr>
              <w:jc w:val="center"/>
              <w:rPr>
                <w:sz w:val="24"/>
                <w:szCs w:val="24"/>
                <w:lang w:val="uk-UA"/>
              </w:rPr>
            </w:pPr>
          </w:p>
        </w:tc>
        <w:tc>
          <w:tcPr>
            <w:tcW w:w="1418" w:type="dxa"/>
            <w:vAlign w:val="center"/>
          </w:tcPr>
          <w:p w:rsidR="007B5FC8" w:rsidRPr="00CE197A" w:rsidRDefault="00CE197A" w:rsidP="00CE197A">
            <w:pPr>
              <w:jc w:val="center"/>
              <w:rPr>
                <w:sz w:val="24"/>
                <w:szCs w:val="24"/>
                <w:lang w:val="uk-UA"/>
              </w:rPr>
            </w:pPr>
            <w:r w:rsidRPr="00CE197A">
              <w:rPr>
                <w:sz w:val="24"/>
                <w:szCs w:val="24"/>
                <w:lang w:val="uk-UA"/>
              </w:rPr>
              <w:t>листопада</w:t>
            </w:r>
            <w:r w:rsidR="007B5FC8" w:rsidRPr="00CE197A">
              <w:rPr>
                <w:sz w:val="24"/>
                <w:szCs w:val="24"/>
                <w:lang w:val="uk-UA"/>
              </w:rPr>
              <w:t xml:space="preserve"> 201</w:t>
            </w:r>
            <w:r w:rsidRPr="00CE197A">
              <w:rPr>
                <w:sz w:val="24"/>
                <w:szCs w:val="24"/>
                <w:lang w:val="uk-UA"/>
              </w:rPr>
              <w:t>9</w:t>
            </w:r>
            <w:r w:rsidR="007B5FC8" w:rsidRPr="00CE197A">
              <w:rPr>
                <w:sz w:val="24"/>
                <w:szCs w:val="24"/>
                <w:lang w:val="uk-UA"/>
              </w:rPr>
              <w:t>р.</w:t>
            </w:r>
          </w:p>
        </w:tc>
        <w:tc>
          <w:tcPr>
            <w:tcW w:w="1275" w:type="dxa"/>
            <w:vAlign w:val="center"/>
          </w:tcPr>
          <w:p w:rsidR="007B5FC8" w:rsidRPr="00CE197A" w:rsidRDefault="007B5FC8" w:rsidP="00CE197A">
            <w:pPr>
              <w:jc w:val="center"/>
              <w:rPr>
                <w:sz w:val="24"/>
                <w:szCs w:val="24"/>
                <w:lang w:val="uk-UA"/>
              </w:rPr>
            </w:pPr>
            <w:r w:rsidRPr="00CE197A">
              <w:rPr>
                <w:sz w:val="24"/>
                <w:szCs w:val="24"/>
                <w:lang w:val="uk-UA"/>
              </w:rPr>
              <w:t>грудня 201</w:t>
            </w:r>
            <w:r w:rsidR="00CE197A" w:rsidRPr="00CE197A">
              <w:rPr>
                <w:sz w:val="24"/>
                <w:szCs w:val="24"/>
                <w:lang w:val="uk-UA"/>
              </w:rPr>
              <w:t>8</w:t>
            </w:r>
            <w:r w:rsidRPr="00CE197A">
              <w:rPr>
                <w:sz w:val="24"/>
                <w:szCs w:val="24"/>
                <w:lang w:val="uk-UA"/>
              </w:rPr>
              <w:t>р.</w:t>
            </w:r>
          </w:p>
        </w:tc>
      </w:tr>
      <w:tr w:rsidR="007B5FC8" w:rsidRPr="00CE197A" w:rsidTr="007B5FC8">
        <w:trPr>
          <w:cantSplit/>
          <w:trHeight w:val="269"/>
        </w:trPr>
        <w:tc>
          <w:tcPr>
            <w:tcW w:w="5103" w:type="dxa"/>
            <w:vAlign w:val="bottom"/>
          </w:tcPr>
          <w:p w:rsidR="007B5FC8" w:rsidRPr="00CE197A" w:rsidRDefault="007B5FC8" w:rsidP="007B5FC8">
            <w:pPr>
              <w:rPr>
                <w:sz w:val="24"/>
                <w:szCs w:val="24"/>
                <w:lang w:val="uk-UA"/>
              </w:rPr>
            </w:pPr>
            <w:r w:rsidRPr="00CE197A">
              <w:rPr>
                <w:sz w:val="24"/>
                <w:szCs w:val="24"/>
                <w:lang w:val="uk-UA"/>
              </w:rPr>
              <w:t>Безробітні, всього</w:t>
            </w:r>
          </w:p>
        </w:tc>
        <w:tc>
          <w:tcPr>
            <w:tcW w:w="1276" w:type="dxa"/>
            <w:vAlign w:val="bottom"/>
          </w:tcPr>
          <w:p w:rsidR="007B5FC8" w:rsidRPr="00CE197A" w:rsidRDefault="00CE197A" w:rsidP="007B5FC8">
            <w:pPr>
              <w:jc w:val="center"/>
              <w:rPr>
                <w:sz w:val="24"/>
                <w:szCs w:val="24"/>
                <w:lang w:val="uk-UA" w:eastAsia="uk-UA"/>
              </w:rPr>
            </w:pPr>
            <w:r w:rsidRPr="00CE197A">
              <w:rPr>
                <w:sz w:val="24"/>
                <w:szCs w:val="24"/>
                <w:lang w:val="uk-UA" w:eastAsia="uk-UA"/>
              </w:rPr>
              <w:t>1497</w:t>
            </w:r>
          </w:p>
        </w:tc>
        <w:tc>
          <w:tcPr>
            <w:tcW w:w="1418" w:type="dxa"/>
            <w:vAlign w:val="bottom"/>
          </w:tcPr>
          <w:p w:rsidR="007B5FC8" w:rsidRPr="00CE197A" w:rsidRDefault="00CE197A" w:rsidP="007B5FC8">
            <w:pPr>
              <w:jc w:val="center"/>
              <w:rPr>
                <w:color w:val="000000"/>
                <w:sz w:val="24"/>
                <w:szCs w:val="24"/>
                <w:lang w:val="uk-UA" w:eastAsia="uk-UA"/>
              </w:rPr>
            </w:pPr>
            <w:r w:rsidRPr="00CE197A">
              <w:rPr>
                <w:color w:val="000000"/>
                <w:sz w:val="24"/>
                <w:szCs w:val="24"/>
                <w:lang w:val="uk-UA" w:eastAsia="uk-UA"/>
              </w:rPr>
              <w:t>105,4</w:t>
            </w:r>
          </w:p>
        </w:tc>
        <w:tc>
          <w:tcPr>
            <w:tcW w:w="1275" w:type="dxa"/>
            <w:vAlign w:val="bottom"/>
          </w:tcPr>
          <w:p w:rsidR="007B5FC8" w:rsidRPr="00CE197A" w:rsidRDefault="00CE197A" w:rsidP="007B5FC8">
            <w:pPr>
              <w:jc w:val="center"/>
              <w:rPr>
                <w:color w:val="000000"/>
                <w:sz w:val="24"/>
                <w:szCs w:val="24"/>
                <w:lang w:val="uk-UA"/>
              </w:rPr>
            </w:pPr>
            <w:r w:rsidRPr="00CE197A">
              <w:rPr>
                <w:color w:val="000000"/>
                <w:sz w:val="24"/>
                <w:szCs w:val="24"/>
                <w:lang w:val="uk-UA"/>
              </w:rPr>
              <w:t>107,6</w:t>
            </w:r>
          </w:p>
        </w:tc>
      </w:tr>
      <w:tr w:rsidR="007B5FC8" w:rsidRPr="00CE197A" w:rsidTr="007B5FC8">
        <w:trPr>
          <w:cantSplit/>
        </w:trPr>
        <w:tc>
          <w:tcPr>
            <w:tcW w:w="5103" w:type="dxa"/>
            <w:vAlign w:val="bottom"/>
          </w:tcPr>
          <w:p w:rsidR="007B5FC8" w:rsidRPr="00CE197A" w:rsidRDefault="007B5FC8" w:rsidP="007B5FC8">
            <w:pPr>
              <w:ind w:left="34"/>
              <w:rPr>
                <w:sz w:val="24"/>
                <w:szCs w:val="24"/>
                <w:lang w:val="uk-UA"/>
              </w:rPr>
            </w:pPr>
            <w:r w:rsidRPr="00CE197A">
              <w:rPr>
                <w:sz w:val="24"/>
                <w:szCs w:val="24"/>
                <w:lang w:val="uk-UA"/>
              </w:rPr>
              <w:t>з  них</w:t>
            </w:r>
          </w:p>
        </w:tc>
        <w:tc>
          <w:tcPr>
            <w:tcW w:w="1276" w:type="dxa"/>
            <w:vAlign w:val="bottom"/>
          </w:tcPr>
          <w:p w:rsidR="007B5FC8" w:rsidRPr="00CE197A" w:rsidRDefault="007B5FC8" w:rsidP="007B5FC8">
            <w:pPr>
              <w:jc w:val="center"/>
              <w:rPr>
                <w:sz w:val="24"/>
                <w:szCs w:val="24"/>
                <w:lang w:val="uk-UA"/>
              </w:rPr>
            </w:pPr>
          </w:p>
        </w:tc>
        <w:tc>
          <w:tcPr>
            <w:tcW w:w="1418" w:type="dxa"/>
            <w:vAlign w:val="bottom"/>
          </w:tcPr>
          <w:p w:rsidR="007B5FC8" w:rsidRPr="00CE197A" w:rsidRDefault="007B5FC8" w:rsidP="007B5FC8">
            <w:pPr>
              <w:jc w:val="center"/>
              <w:rPr>
                <w:color w:val="000000"/>
                <w:sz w:val="24"/>
                <w:szCs w:val="24"/>
                <w:lang w:val="uk-UA"/>
              </w:rPr>
            </w:pPr>
          </w:p>
        </w:tc>
        <w:tc>
          <w:tcPr>
            <w:tcW w:w="1275" w:type="dxa"/>
            <w:vAlign w:val="bottom"/>
          </w:tcPr>
          <w:p w:rsidR="007B5FC8" w:rsidRPr="00CE197A" w:rsidRDefault="007B5FC8" w:rsidP="007B5FC8">
            <w:pPr>
              <w:jc w:val="center"/>
              <w:rPr>
                <w:sz w:val="24"/>
                <w:szCs w:val="24"/>
                <w:lang w:val="uk-UA"/>
              </w:rPr>
            </w:pPr>
          </w:p>
        </w:tc>
      </w:tr>
      <w:tr w:rsidR="007B5FC8" w:rsidRPr="00CE197A" w:rsidTr="007B5FC8">
        <w:trPr>
          <w:cantSplit/>
          <w:trHeight w:val="231"/>
        </w:trPr>
        <w:tc>
          <w:tcPr>
            <w:tcW w:w="5103" w:type="dxa"/>
            <w:vAlign w:val="bottom"/>
          </w:tcPr>
          <w:p w:rsidR="007B5FC8" w:rsidRPr="00CE197A" w:rsidRDefault="007B5FC8" w:rsidP="007B5FC8">
            <w:pPr>
              <w:ind w:left="34"/>
              <w:rPr>
                <w:sz w:val="24"/>
                <w:szCs w:val="24"/>
                <w:lang w:val="uk-UA"/>
              </w:rPr>
            </w:pPr>
            <w:r w:rsidRPr="00CE197A">
              <w:rPr>
                <w:sz w:val="24"/>
                <w:szCs w:val="24"/>
                <w:lang w:val="uk-UA"/>
              </w:rPr>
              <w:t>жінки</w:t>
            </w:r>
          </w:p>
        </w:tc>
        <w:tc>
          <w:tcPr>
            <w:tcW w:w="1276" w:type="dxa"/>
            <w:vAlign w:val="bottom"/>
          </w:tcPr>
          <w:p w:rsidR="007B5FC8" w:rsidRPr="00CE197A" w:rsidRDefault="00CE197A" w:rsidP="007B5FC8">
            <w:pPr>
              <w:jc w:val="center"/>
              <w:rPr>
                <w:sz w:val="24"/>
                <w:szCs w:val="24"/>
                <w:lang w:val="uk-UA"/>
              </w:rPr>
            </w:pPr>
            <w:r w:rsidRPr="00CE197A">
              <w:rPr>
                <w:sz w:val="24"/>
                <w:szCs w:val="24"/>
                <w:lang w:val="uk-UA"/>
              </w:rPr>
              <w:t>947</w:t>
            </w:r>
          </w:p>
        </w:tc>
        <w:tc>
          <w:tcPr>
            <w:tcW w:w="1418" w:type="dxa"/>
            <w:vAlign w:val="bottom"/>
          </w:tcPr>
          <w:p w:rsidR="007B5FC8" w:rsidRPr="00CE197A" w:rsidRDefault="00CE197A" w:rsidP="007B5FC8">
            <w:pPr>
              <w:jc w:val="center"/>
              <w:rPr>
                <w:color w:val="000000"/>
                <w:sz w:val="24"/>
                <w:szCs w:val="24"/>
                <w:lang w:val="uk-UA"/>
              </w:rPr>
            </w:pPr>
            <w:r w:rsidRPr="00CE197A">
              <w:rPr>
                <w:color w:val="000000"/>
                <w:sz w:val="24"/>
                <w:szCs w:val="24"/>
                <w:lang w:val="uk-UA"/>
              </w:rPr>
              <w:t>104,3</w:t>
            </w:r>
          </w:p>
        </w:tc>
        <w:tc>
          <w:tcPr>
            <w:tcW w:w="1275" w:type="dxa"/>
            <w:vAlign w:val="bottom"/>
          </w:tcPr>
          <w:p w:rsidR="007B5FC8" w:rsidRPr="00CE197A" w:rsidRDefault="00CE197A" w:rsidP="007B5FC8">
            <w:pPr>
              <w:jc w:val="center"/>
              <w:rPr>
                <w:color w:val="000000"/>
                <w:sz w:val="24"/>
                <w:szCs w:val="24"/>
                <w:lang w:val="uk-UA"/>
              </w:rPr>
            </w:pPr>
            <w:r w:rsidRPr="00CE197A">
              <w:rPr>
                <w:color w:val="000000"/>
                <w:sz w:val="24"/>
                <w:szCs w:val="24"/>
                <w:lang w:val="uk-UA"/>
              </w:rPr>
              <w:t>105,9</w:t>
            </w:r>
          </w:p>
        </w:tc>
      </w:tr>
      <w:tr w:rsidR="007B5FC8" w:rsidRPr="00CE197A" w:rsidTr="007B5FC8">
        <w:trPr>
          <w:cantSplit/>
        </w:trPr>
        <w:tc>
          <w:tcPr>
            <w:tcW w:w="5103" w:type="dxa"/>
            <w:vAlign w:val="bottom"/>
          </w:tcPr>
          <w:p w:rsidR="007B5FC8" w:rsidRPr="00CE197A" w:rsidRDefault="007B5FC8" w:rsidP="007B5FC8">
            <w:pPr>
              <w:ind w:left="34"/>
              <w:rPr>
                <w:sz w:val="24"/>
                <w:szCs w:val="24"/>
                <w:lang w:val="uk-UA"/>
              </w:rPr>
            </w:pPr>
            <w:r w:rsidRPr="00CE197A">
              <w:rPr>
                <w:sz w:val="24"/>
                <w:szCs w:val="24"/>
                <w:lang w:val="uk-UA"/>
              </w:rPr>
              <w:t>молодь у віці до 35 років</w:t>
            </w:r>
          </w:p>
        </w:tc>
        <w:tc>
          <w:tcPr>
            <w:tcW w:w="1276" w:type="dxa"/>
            <w:vAlign w:val="bottom"/>
          </w:tcPr>
          <w:p w:rsidR="007B5FC8" w:rsidRPr="00CE197A" w:rsidRDefault="00CE197A" w:rsidP="007B5FC8">
            <w:pPr>
              <w:jc w:val="center"/>
              <w:rPr>
                <w:sz w:val="24"/>
                <w:szCs w:val="24"/>
                <w:lang w:val="uk-UA"/>
              </w:rPr>
            </w:pPr>
            <w:r w:rsidRPr="00CE197A">
              <w:rPr>
                <w:sz w:val="24"/>
                <w:szCs w:val="24"/>
                <w:lang w:val="uk-UA"/>
              </w:rPr>
              <w:t>624</w:t>
            </w:r>
          </w:p>
        </w:tc>
        <w:tc>
          <w:tcPr>
            <w:tcW w:w="1418" w:type="dxa"/>
            <w:vAlign w:val="bottom"/>
          </w:tcPr>
          <w:p w:rsidR="007B5FC8" w:rsidRPr="00CE197A" w:rsidRDefault="00CE197A" w:rsidP="007B5FC8">
            <w:pPr>
              <w:jc w:val="center"/>
              <w:rPr>
                <w:color w:val="000000"/>
                <w:sz w:val="24"/>
                <w:szCs w:val="24"/>
                <w:lang w:val="uk-UA"/>
              </w:rPr>
            </w:pPr>
            <w:r w:rsidRPr="00CE197A">
              <w:rPr>
                <w:color w:val="000000"/>
                <w:sz w:val="24"/>
                <w:szCs w:val="24"/>
                <w:lang w:val="uk-UA"/>
              </w:rPr>
              <w:t>104,9</w:t>
            </w:r>
          </w:p>
        </w:tc>
        <w:tc>
          <w:tcPr>
            <w:tcW w:w="1275" w:type="dxa"/>
            <w:vAlign w:val="bottom"/>
          </w:tcPr>
          <w:p w:rsidR="007B5FC8" w:rsidRPr="00CE197A" w:rsidRDefault="00CE197A" w:rsidP="007B5FC8">
            <w:pPr>
              <w:jc w:val="center"/>
              <w:rPr>
                <w:color w:val="000000"/>
                <w:sz w:val="24"/>
                <w:szCs w:val="24"/>
                <w:lang w:val="uk-UA"/>
              </w:rPr>
            </w:pPr>
            <w:r w:rsidRPr="00CE197A">
              <w:rPr>
                <w:color w:val="000000"/>
                <w:sz w:val="24"/>
                <w:szCs w:val="24"/>
                <w:lang w:val="uk-UA"/>
              </w:rPr>
              <w:t>108,7</w:t>
            </w:r>
          </w:p>
        </w:tc>
      </w:tr>
      <w:tr w:rsidR="007B5FC8" w:rsidRPr="00CE197A" w:rsidTr="007B5FC8">
        <w:trPr>
          <w:cantSplit/>
        </w:trPr>
        <w:tc>
          <w:tcPr>
            <w:tcW w:w="5103" w:type="dxa"/>
            <w:vAlign w:val="bottom"/>
          </w:tcPr>
          <w:p w:rsidR="007B5FC8" w:rsidRPr="00CE197A" w:rsidRDefault="007B5FC8" w:rsidP="007B5FC8">
            <w:pPr>
              <w:ind w:left="34"/>
              <w:rPr>
                <w:sz w:val="24"/>
                <w:szCs w:val="24"/>
                <w:lang w:val="uk-UA"/>
              </w:rPr>
            </w:pPr>
            <w:r w:rsidRPr="00CE197A">
              <w:rPr>
                <w:sz w:val="24"/>
                <w:szCs w:val="24"/>
                <w:lang w:val="uk-UA"/>
              </w:rPr>
              <w:t xml:space="preserve">особи, які проживають у сільській  місцевості </w:t>
            </w:r>
          </w:p>
        </w:tc>
        <w:tc>
          <w:tcPr>
            <w:tcW w:w="1276" w:type="dxa"/>
            <w:vAlign w:val="bottom"/>
          </w:tcPr>
          <w:p w:rsidR="007B5FC8" w:rsidRPr="00CE197A" w:rsidRDefault="00CE197A" w:rsidP="007B5FC8">
            <w:pPr>
              <w:jc w:val="center"/>
              <w:rPr>
                <w:sz w:val="24"/>
                <w:szCs w:val="24"/>
                <w:lang w:val="uk-UA"/>
              </w:rPr>
            </w:pPr>
            <w:r w:rsidRPr="00CE197A">
              <w:rPr>
                <w:sz w:val="24"/>
                <w:szCs w:val="24"/>
                <w:lang w:val="uk-UA"/>
              </w:rPr>
              <w:t>339</w:t>
            </w:r>
          </w:p>
        </w:tc>
        <w:tc>
          <w:tcPr>
            <w:tcW w:w="1418" w:type="dxa"/>
            <w:vAlign w:val="bottom"/>
          </w:tcPr>
          <w:p w:rsidR="007B5FC8" w:rsidRPr="00CE197A" w:rsidRDefault="00CE197A" w:rsidP="007B5FC8">
            <w:pPr>
              <w:jc w:val="center"/>
              <w:rPr>
                <w:color w:val="000000"/>
                <w:sz w:val="24"/>
                <w:szCs w:val="24"/>
                <w:lang w:val="uk-UA"/>
              </w:rPr>
            </w:pPr>
            <w:r w:rsidRPr="00CE197A">
              <w:rPr>
                <w:color w:val="000000"/>
                <w:sz w:val="24"/>
                <w:szCs w:val="24"/>
                <w:lang w:val="uk-UA"/>
              </w:rPr>
              <w:t>108</w:t>
            </w:r>
          </w:p>
        </w:tc>
        <w:tc>
          <w:tcPr>
            <w:tcW w:w="1275" w:type="dxa"/>
            <w:vAlign w:val="bottom"/>
          </w:tcPr>
          <w:p w:rsidR="007B5FC8" w:rsidRPr="00CE197A" w:rsidRDefault="00CE197A" w:rsidP="007B5FC8">
            <w:pPr>
              <w:jc w:val="center"/>
              <w:rPr>
                <w:color w:val="000000"/>
                <w:sz w:val="24"/>
                <w:szCs w:val="24"/>
                <w:lang w:val="uk-UA"/>
              </w:rPr>
            </w:pPr>
            <w:r w:rsidRPr="00CE197A">
              <w:rPr>
                <w:color w:val="000000"/>
                <w:sz w:val="24"/>
                <w:szCs w:val="24"/>
                <w:lang w:val="uk-UA"/>
              </w:rPr>
              <w:t>123,3</w:t>
            </w:r>
          </w:p>
        </w:tc>
      </w:tr>
      <w:tr w:rsidR="007B5FC8" w:rsidRPr="007B5FC8" w:rsidTr="007B5FC8">
        <w:trPr>
          <w:cantSplit/>
          <w:trHeight w:val="449"/>
        </w:trPr>
        <w:tc>
          <w:tcPr>
            <w:tcW w:w="5103" w:type="dxa"/>
            <w:vAlign w:val="bottom"/>
          </w:tcPr>
          <w:p w:rsidR="007B5FC8" w:rsidRPr="00CE197A" w:rsidRDefault="007B5FC8" w:rsidP="007B5FC8">
            <w:pPr>
              <w:ind w:left="34" w:hanging="34"/>
              <w:rPr>
                <w:sz w:val="24"/>
                <w:szCs w:val="24"/>
                <w:lang w:val="uk-UA"/>
              </w:rPr>
            </w:pPr>
            <w:r w:rsidRPr="00CE197A">
              <w:rPr>
                <w:sz w:val="24"/>
                <w:szCs w:val="24"/>
                <w:lang w:val="uk-UA"/>
              </w:rPr>
              <w:t>особи, які мають додаткові гарантії у сприянні працевлаштуванню</w:t>
            </w:r>
          </w:p>
        </w:tc>
        <w:tc>
          <w:tcPr>
            <w:tcW w:w="1276" w:type="dxa"/>
            <w:vAlign w:val="bottom"/>
          </w:tcPr>
          <w:p w:rsidR="007B5FC8" w:rsidRPr="00CE197A" w:rsidRDefault="00CE197A" w:rsidP="007B5FC8">
            <w:pPr>
              <w:jc w:val="center"/>
              <w:rPr>
                <w:sz w:val="24"/>
                <w:szCs w:val="24"/>
                <w:lang w:val="uk-UA"/>
              </w:rPr>
            </w:pPr>
            <w:r w:rsidRPr="00CE197A">
              <w:rPr>
                <w:sz w:val="24"/>
                <w:szCs w:val="24"/>
                <w:lang w:val="uk-UA"/>
              </w:rPr>
              <w:t>382</w:t>
            </w:r>
          </w:p>
        </w:tc>
        <w:tc>
          <w:tcPr>
            <w:tcW w:w="1418" w:type="dxa"/>
            <w:vAlign w:val="bottom"/>
          </w:tcPr>
          <w:p w:rsidR="007B5FC8" w:rsidRPr="00CE197A" w:rsidRDefault="00CE197A" w:rsidP="007B5FC8">
            <w:pPr>
              <w:jc w:val="center"/>
              <w:rPr>
                <w:color w:val="000000"/>
                <w:sz w:val="24"/>
                <w:szCs w:val="24"/>
                <w:lang w:val="uk-UA"/>
              </w:rPr>
            </w:pPr>
            <w:r w:rsidRPr="00CE197A">
              <w:rPr>
                <w:color w:val="000000"/>
                <w:sz w:val="24"/>
                <w:szCs w:val="24"/>
                <w:lang w:val="uk-UA"/>
              </w:rPr>
              <w:t>92</w:t>
            </w:r>
          </w:p>
        </w:tc>
        <w:tc>
          <w:tcPr>
            <w:tcW w:w="1275" w:type="dxa"/>
            <w:vAlign w:val="bottom"/>
          </w:tcPr>
          <w:p w:rsidR="007B5FC8" w:rsidRPr="00CE197A" w:rsidRDefault="00CE197A" w:rsidP="007B5FC8">
            <w:pPr>
              <w:jc w:val="center"/>
              <w:rPr>
                <w:color w:val="000000"/>
                <w:sz w:val="24"/>
                <w:szCs w:val="24"/>
                <w:lang w:val="uk-UA"/>
              </w:rPr>
            </w:pPr>
            <w:r w:rsidRPr="00CE197A">
              <w:rPr>
                <w:color w:val="000000"/>
                <w:sz w:val="24"/>
                <w:szCs w:val="24"/>
                <w:lang w:val="uk-UA"/>
              </w:rPr>
              <w:t>69,3</w:t>
            </w:r>
          </w:p>
        </w:tc>
      </w:tr>
    </w:tbl>
    <w:p w:rsidR="007B5FC8" w:rsidRPr="00CE197A" w:rsidRDefault="007B5FC8" w:rsidP="007B5FC8">
      <w:pPr>
        <w:pStyle w:val="af1"/>
        <w:ind w:left="0" w:firstLine="708"/>
        <w:jc w:val="both"/>
        <w:rPr>
          <w:sz w:val="28"/>
          <w:szCs w:val="28"/>
          <w:lang w:val="uk-UA"/>
        </w:rPr>
      </w:pPr>
      <w:r w:rsidRPr="00CE197A">
        <w:rPr>
          <w:sz w:val="28"/>
          <w:szCs w:val="28"/>
          <w:lang w:val="uk-UA"/>
        </w:rPr>
        <w:t>Середньооблікова кількість безробітних, які отримували допомогу по безробіттю впродовж грудня 201</w:t>
      </w:r>
      <w:r w:rsidR="00CE197A" w:rsidRPr="00CE197A">
        <w:rPr>
          <w:sz w:val="28"/>
          <w:szCs w:val="28"/>
          <w:lang w:val="uk-UA"/>
        </w:rPr>
        <w:t>9</w:t>
      </w:r>
      <w:r w:rsidRPr="00CE197A">
        <w:rPr>
          <w:sz w:val="28"/>
          <w:szCs w:val="28"/>
          <w:lang w:val="uk-UA"/>
        </w:rPr>
        <w:t xml:space="preserve">р., становила </w:t>
      </w:r>
      <w:r w:rsidR="00CE197A" w:rsidRPr="00CE197A">
        <w:rPr>
          <w:sz w:val="28"/>
          <w:szCs w:val="28"/>
          <w:lang w:val="uk-UA"/>
        </w:rPr>
        <w:t>1094</w:t>
      </w:r>
      <w:r w:rsidRPr="00CE197A">
        <w:rPr>
          <w:sz w:val="28"/>
          <w:szCs w:val="28"/>
          <w:lang w:val="uk-UA"/>
        </w:rPr>
        <w:t xml:space="preserve"> осіб. Середній розмір допомоги по безробіттю становив </w:t>
      </w:r>
      <w:r w:rsidR="00CE197A" w:rsidRPr="00CE197A">
        <w:rPr>
          <w:sz w:val="28"/>
          <w:szCs w:val="28"/>
          <w:lang w:val="uk-UA"/>
        </w:rPr>
        <w:t>4058</w:t>
      </w:r>
      <w:r w:rsidRPr="00CE197A">
        <w:rPr>
          <w:sz w:val="28"/>
          <w:szCs w:val="28"/>
          <w:lang w:val="uk-UA"/>
        </w:rPr>
        <w:t xml:space="preserve"> грн, що складає </w:t>
      </w:r>
      <w:r w:rsidR="00CE197A" w:rsidRPr="00CE197A">
        <w:rPr>
          <w:sz w:val="28"/>
          <w:szCs w:val="28"/>
          <w:lang w:val="uk-UA"/>
        </w:rPr>
        <w:t>97,2</w:t>
      </w:r>
      <w:r w:rsidRPr="00CE197A">
        <w:rPr>
          <w:sz w:val="28"/>
          <w:szCs w:val="28"/>
          <w:lang w:val="uk-UA"/>
        </w:rPr>
        <w:t xml:space="preserve">%  законодавчо  визначеного  розміру  мінімальної  заробітної  плати. </w:t>
      </w:r>
    </w:p>
    <w:p w:rsidR="007B5FC8" w:rsidRPr="00CE197A" w:rsidRDefault="007B5FC8" w:rsidP="007B5FC8">
      <w:pPr>
        <w:widowControl w:val="0"/>
        <w:spacing w:line="228" w:lineRule="auto"/>
        <w:ind w:firstLine="709"/>
        <w:jc w:val="both"/>
        <w:rPr>
          <w:lang w:val="uk-UA"/>
        </w:rPr>
      </w:pPr>
      <w:r w:rsidRPr="00CE197A">
        <w:rPr>
          <w:lang w:val="uk-UA"/>
        </w:rPr>
        <w:t xml:space="preserve">За професійними групами найбільший попит на робочу силу спостерігався на </w:t>
      </w:r>
      <w:r w:rsidR="00CE197A" w:rsidRPr="00CE197A">
        <w:rPr>
          <w:lang w:val="uk-UA"/>
        </w:rPr>
        <w:t xml:space="preserve">кваліфікованих робітників з інструментом (23,7% від загальної кількості заявлених вакансій), </w:t>
      </w:r>
      <w:r w:rsidRPr="00CE197A">
        <w:rPr>
          <w:lang w:val="uk-UA"/>
        </w:rPr>
        <w:t>працівників сфери торгівлі та послуг (</w:t>
      </w:r>
      <w:r w:rsidR="00CE197A" w:rsidRPr="00CE197A">
        <w:rPr>
          <w:lang w:val="uk-UA"/>
        </w:rPr>
        <w:t>20,9</w:t>
      </w:r>
      <w:r w:rsidRPr="00CE197A">
        <w:rPr>
          <w:lang w:val="uk-UA"/>
        </w:rPr>
        <w:t xml:space="preserve">%), робітників з обслуговування, експлуатації та контролювання за роботою технологічного устаткування, складання устаткування та  машин </w:t>
      </w:r>
      <w:r w:rsidRPr="00CE197A">
        <w:rPr>
          <w:lang w:val="uk-UA"/>
        </w:rPr>
        <w:lastRenderedPageBreak/>
        <w:t>(</w:t>
      </w:r>
      <w:r w:rsidR="00CE197A" w:rsidRPr="00CE197A">
        <w:rPr>
          <w:lang w:val="uk-UA"/>
        </w:rPr>
        <w:t>13,2%).</w:t>
      </w:r>
      <w:r w:rsidRPr="00CE197A">
        <w:rPr>
          <w:lang w:val="uk-UA"/>
        </w:rPr>
        <w:t xml:space="preserve"> </w:t>
      </w:r>
    </w:p>
    <w:p w:rsidR="007B5FC8" w:rsidRPr="00CE197A" w:rsidRDefault="007B5FC8" w:rsidP="007B5FC8">
      <w:pPr>
        <w:pStyle w:val="af1"/>
        <w:ind w:left="0"/>
        <w:jc w:val="both"/>
        <w:rPr>
          <w:sz w:val="28"/>
          <w:lang w:val="uk-UA"/>
        </w:rPr>
      </w:pPr>
      <w:r w:rsidRPr="00CE197A">
        <w:rPr>
          <w:sz w:val="28"/>
          <w:lang w:val="uk-UA"/>
        </w:rPr>
        <w:tab/>
        <w:t>Навантаження зареєстрованих безробітних на одну вакансію на кінець грудня 201</w:t>
      </w:r>
      <w:r w:rsidR="00CE197A" w:rsidRPr="00CE197A">
        <w:rPr>
          <w:sz w:val="28"/>
          <w:lang w:val="uk-UA"/>
        </w:rPr>
        <w:t>9</w:t>
      </w:r>
      <w:r w:rsidRPr="00CE197A">
        <w:rPr>
          <w:sz w:val="28"/>
          <w:lang w:val="uk-UA"/>
        </w:rPr>
        <w:t xml:space="preserve"> року становило 3 особ</w:t>
      </w:r>
      <w:r w:rsidR="00CE197A" w:rsidRPr="00CE197A">
        <w:rPr>
          <w:sz w:val="28"/>
          <w:lang w:val="uk-UA"/>
        </w:rPr>
        <w:t>и</w:t>
      </w:r>
      <w:r w:rsidRPr="00CE197A">
        <w:rPr>
          <w:sz w:val="28"/>
          <w:lang w:val="uk-UA"/>
        </w:rPr>
        <w:t>.</w:t>
      </w:r>
    </w:p>
    <w:p w:rsidR="007B5FC8" w:rsidRPr="00CE197A" w:rsidRDefault="007B5FC8" w:rsidP="007B5FC8">
      <w:pPr>
        <w:pStyle w:val="af1"/>
        <w:ind w:left="0"/>
        <w:jc w:val="both"/>
        <w:rPr>
          <w:sz w:val="28"/>
          <w:szCs w:val="28"/>
          <w:lang w:val="uk-UA"/>
        </w:rPr>
      </w:pPr>
    </w:p>
    <w:p w:rsidR="007B5FC8" w:rsidRPr="001E14A9" w:rsidRDefault="007B5FC8" w:rsidP="007B5FC8">
      <w:pPr>
        <w:pStyle w:val="a7"/>
        <w:tabs>
          <w:tab w:val="left" w:pos="709"/>
        </w:tabs>
        <w:spacing w:after="0"/>
        <w:ind w:left="851"/>
        <w:jc w:val="both"/>
        <w:outlineLvl w:val="0"/>
        <w:rPr>
          <w:i/>
          <w:sz w:val="28"/>
          <w:szCs w:val="28"/>
          <w:lang w:val="uk-UA"/>
        </w:rPr>
      </w:pPr>
      <w:r w:rsidRPr="001E14A9">
        <w:rPr>
          <w:i/>
          <w:sz w:val="28"/>
          <w:szCs w:val="28"/>
          <w:lang w:val="uk-UA"/>
        </w:rPr>
        <w:t>4.7 Оплата праці</w:t>
      </w:r>
    </w:p>
    <w:p w:rsidR="005D760A" w:rsidRPr="005D760A" w:rsidRDefault="007B5FC8" w:rsidP="007B5FC8">
      <w:pPr>
        <w:ind w:firstLine="720"/>
        <w:jc w:val="both"/>
        <w:rPr>
          <w:color w:val="000000"/>
          <w:lang w:val="uk-UA"/>
        </w:rPr>
      </w:pPr>
      <w:r w:rsidRPr="005D760A">
        <w:rPr>
          <w:color w:val="000000"/>
          <w:lang w:val="uk-UA"/>
        </w:rPr>
        <w:t xml:space="preserve">Розмір середньомісячної заробітної плати штатних працівників у </w:t>
      </w:r>
      <w:r w:rsidR="005D760A" w:rsidRPr="005D760A">
        <w:rPr>
          <w:color w:val="000000"/>
          <w:lang w:val="uk-UA"/>
        </w:rPr>
        <w:t>ІІІ</w:t>
      </w:r>
      <w:r w:rsidRPr="005D760A">
        <w:rPr>
          <w:color w:val="000000"/>
          <w:lang w:val="uk-UA"/>
        </w:rPr>
        <w:t xml:space="preserve"> кварталі 201</w:t>
      </w:r>
      <w:r w:rsidR="005D760A" w:rsidRPr="005D760A">
        <w:rPr>
          <w:color w:val="000000"/>
          <w:lang w:val="uk-UA"/>
        </w:rPr>
        <w:t>9</w:t>
      </w:r>
      <w:r w:rsidRPr="005D760A">
        <w:rPr>
          <w:color w:val="000000"/>
          <w:lang w:val="uk-UA"/>
        </w:rPr>
        <w:t xml:space="preserve">р. склав </w:t>
      </w:r>
      <w:r w:rsidR="005D760A" w:rsidRPr="005D760A">
        <w:rPr>
          <w:color w:val="000000"/>
          <w:lang w:val="uk-UA"/>
        </w:rPr>
        <w:t>9279</w:t>
      </w:r>
      <w:r w:rsidRPr="005D760A">
        <w:rPr>
          <w:color w:val="000000"/>
          <w:lang w:val="uk-UA"/>
        </w:rPr>
        <w:t xml:space="preserve"> грн, що більше на </w:t>
      </w:r>
      <w:r w:rsidR="005D760A" w:rsidRPr="005D760A">
        <w:rPr>
          <w:color w:val="000000"/>
          <w:lang w:val="uk-UA"/>
        </w:rPr>
        <w:t>16,5</w:t>
      </w:r>
      <w:r w:rsidRPr="005D760A">
        <w:rPr>
          <w:color w:val="000000"/>
          <w:lang w:val="uk-UA"/>
        </w:rPr>
        <w:t xml:space="preserve">%, ніж у </w:t>
      </w:r>
      <w:r w:rsidR="005D760A" w:rsidRPr="005D760A">
        <w:rPr>
          <w:color w:val="000000"/>
          <w:lang w:val="uk-UA"/>
        </w:rPr>
        <w:t>ІІІ</w:t>
      </w:r>
      <w:r w:rsidRPr="005D760A">
        <w:rPr>
          <w:color w:val="000000"/>
          <w:lang w:val="uk-UA"/>
        </w:rPr>
        <w:t xml:space="preserve"> кварталі 201</w:t>
      </w:r>
      <w:r w:rsidR="005D760A" w:rsidRPr="005D760A">
        <w:rPr>
          <w:color w:val="000000"/>
          <w:lang w:val="uk-UA"/>
        </w:rPr>
        <w:t>8</w:t>
      </w:r>
      <w:r w:rsidRPr="005D760A">
        <w:rPr>
          <w:color w:val="000000"/>
          <w:lang w:val="uk-UA"/>
        </w:rPr>
        <w:t>р</w:t>
      </w:r>
      <w:r w:rsidR="005D760A" w:rsidRPr="005D760A">
        <w:rPr>
          <w:color w:val="000000"/>
          <w:lang w:val="uk-UA"/>
        </w:rPr>
        <w:t>.</w:t>
      </w:r>
    </w:p>
    <w:p w:rsidR="001E14A9" w:rsidRDefault="001E14A9" w:rsidP="007B5FC8">
      <w:pPr>
        <w:ind w:firstLine="851"/>
        <w:jc w:val="both"/>
        <w:rPr>
          <w:lang w:val="uk-UA"/>
        </w:rPr>
      </w:pPr>
      <w:r>
        <w:t>Станом на 01.01.2020 р. згідно із статистичною інформацією загальна сума заборгованості з виплати заробітної плати в м. Івано-Франківську становила 27316,9 тис</w:t>
      </w:r>
      <w:r>
        <w:rPr>
          <w:lang w:val="uk-UA"/>
        </w:rPr>
        <w:t>.</w:t>
      </w:r>
      <w:r>
        <w:t xml:space="preserve"> грн. На економічно активних підприємствах заборгованість </w:t>
      </w:r>
      <w:proofErr w:type="gramStart"/>
      <w:r>
        <w:t>складала</w:t>
      </w:r>
      <w:r w:rsidR="00EA1D32">
        <w:rPr>
          <w:lang w:val="uk-UA"/>
        </w:rPr>
        <w:t xml:space="preserve"> </w:t>
      </w:r>
      <w:r w:rsidR="00AF7231">
        <w:t xml:space="preserve"> 8</w:t>
      </w:r>
      <w:proofErr w:type="gramEnd"/>
      <w:r w:rsidR="00AF7231">
        <w:t xml:space="preserve"> 245,7 тис. грн (30,2</w:t>
      </w:r>
      <w:r>
        <w:t>% від загальної суми боргу), на підприємствах-банк</w:t>
      </w:r>
      <w:r w:rsidR="00AF7231">
        <w:t>рутах – 19071,2 тис.грн (69,8</w:t>
      </w:r>
      <w:r>
        <w:t>%). Станом на 01.01.2020р. заборгованість обліковувалась на 3 економічн</w:t>
      </w:r>
      <w:r w:rsidR="00AF7231">
        <w:t xml:space="preserve">о активних підприємствах: ПрАТ </w:t>
      </w:r>
      <w:r w:rsidR="00AF7231">
        <w:rPr>
          <w:lang w:val="uk-UA"/>
        </w:rPr>
        <w:t>"</w:t>
      </w:r>
      <w:r>
        <w:t>Івано-Франківський локомотиворе</w:t>
      </w:r>
      <w:r w:rsidR="00AF7231">
        <w:t>монтний завод</w:t>
      </w:r>
      <w:r w:rsidR="00AF7231">
        <w:rPr>
          <w:lang w:val="uk-UA"/>
        </w:rPr>
        <w:t>"</w:t>
      </w:r>
      <w:r w:rsidR="00AF7231">
        <w:t xml:space="preserve"> – 117,3 тис. грн, ДП </w:t>
      </w:r>
      <w:r w:rsidR="00AF7231">
        <w:rPr>
          <w:lang w:val="uk-UA"/>
        </w:rPr>
        <w:t>"</w:t>
      </w:r>
      <w:r>
        <w:t>Івано-Франківський завод хлібопродуктів</w:t>
      </w:r>
      <w:r w:rsidR="00AF7231">
        <w:rPr>
          <w:lang w:val="uk-UA"/>
        </w:rPr>
        <w:t>"</w:t>
      </w:r>
      <w:r w:rsidR="00AF7231">
        <w:t xml:space="preserve"> – 5 299,6 тис. грн та ДП </w:t>
      </w:r>
      <w:r w:rsidR="00AF7231">
        <w:rPr>
          <w:lang w:val="uk-UA"/>
        </w:rPr>
        <w:t>"</w:t>
      </w:r>
      <w:r>
        <w:t>Івано-Франківсь</w:t>
      </w:r>
      <w:r w:rsidR="00AF7231">
        <w:t>кий котельно-зварювальний завод</w:t>
      </w:r>
      <w:r w:rsidR="00AF7231">
        <w:rPr>
          <w:lang w:val="uk-UA"/>
        </w:rPr>
        <w:t>"</w:t>
      </w:r>
      <w:r>
        <w:t xml:space="preserve"> – 2 828,8 тис. грн.</w:t>
      </w:r>
    </w:p>
    <w:p w:rsidR="001E14A9" w:rsidRDefault="001E14A9" w:rsidP="007B5FC8">
      <w:pPr>
        <w:ind w:firstLine="851"/>
        <w:jc w:val="both"/>
        <w:rPr>
          <w:lang w:val="uk-UA"/>
        </w:rPr>
      </w:pPr>
      <w:r>
        <w:t>Найбільша частка боргу з виплати заробітної плати припадає на підприємства-банкрути.</w:t>
      </w:r>
      <w:r>
        <w:rPr>
          <w:lang w:val="uk-UA"/>
        </w:rPr>
        <w:t xml:space="preserve"> П</w:t>
      </w:r>
      <w:r>
        <w:t>роведена нарада з арбітражними керуючими підприємств щодо яких порушено провадження про банкрутство, яка проходила в Головному територіальному управління юстиції в Івано-Франківській області.</w:t>
      </w:r>
    </w:p>
    <w:p w:rsidR="001E14A9" w:rsidRDefault="001E14A9" w:rsidP="007B5FC8">
      <w:pPr>
        <w:ind w:firstLine="851"/>
        <w:jc w:val="both"/>
        <w:rPr>
          <w:lang w:val="uk-UA"/>
        </w:rPr>
      </w:pPr>
      <w:r w:rsidRPr="009C5286">
        <w:rPr>
          <w:lang w:val="uk-UA"/>
        </w:rPr>
        <w:t xml:space="preserve">Питання щодо погашення заборгованості з виплати заробітної плати та надходжень до державного та міського бюджетів розглядаються на засіданнях міської комісії з питань забезпечення своєчасності і повноти сплати податків та погашення заборгованості із заробітної плати (грошового забезпечення), пенсій, стипендій та інших соціальних виплат. У звітному періоді відбулося 4 засідання, на яких заслухано 15 керівників підприємств-боржників як з виплати заробітної плати, так і з виплати обов’язкових платежів до бюджетів усіх рівнів. </w:t>
      </w:r>
      <w:r w:rsidRPr="00FC35A9">
        <w:rPr>
          <w:lang w:val="uk-UA"/>
        </w:rPr>
        <w:t>Проведена інформаційна робота та співбесіди з 41 керівником</w:t>
      </w:r>
      <w:r>
        <w:rPr>
          <w:lang w:val="uk-UA"/>
        </w:rPr>
        <w:t>.</w:t>
      </w:r>
    </w:p>
    <w:p w:rsidR="001E14A9" w:rsidRDefault="001E14A9" w:rsidP="007B5FC8">
      <w:pPr>
        <w:ind w:firstLine="851"/>
        <w:jc w:val="both"/>
        <w:rPr>
          <w:lang w:val="uk-UA"/>
        </w:rPr>
      </w:pPr>
      <w:r w:rsidRPr="009C5286">
        <w:rPr>
          <w:lang w:val="uk-UA"/>
        </w:rPr>
        <w:t>Крім того, проведено 2 наради з керівниками підприємств-боржників з виплат</w:t>
      </w:r>
      <w:r w:rsidR="00AF7231">
        <w:rPr>
          <w:lang w:val="uk-UA"/>
        </w:rPr>
        <w:t>и заробітної плати, а саме, ДП "</w:t>
      </w:r>
      <w:r w:rsidRPr="009C5286">
        <w:rPr>
          <w:lang w:val="uk-UA"/>
        </w:rPr>
        <w:t>Івано-Франківський котельно-зварювальний завод</w:t>
      </w:r>
      <w:r w:rsidR="00AF7231">
        <w:rPr>
          <w:lang w:val="uk-UA"/>
        </w:rPr>
        <w:t>" та ДП "</w:t>
      </w:r>
      <w:r w:rsidRPr="009C5286">
        <w:rPr>
          <w:lang w:val="uk-UA"/>
        </w:rPr>
        <w:t>ІваноФранківський комбінат хлібопродуктів</w:t>
      </w:r>
      <w:r w:rsidR="00AF7231">
        <w:rPr>
          <w:lang w:val="uk-UA"/>
        </w:rPr>
        <w:t>"</w:t>
      </w:r>
      <w:r w:rsidRPr="009C5286">
        <w:rPr>
          <w:lang w:val="uk-UA"/>
        </w:rPr>
        <w:t>, на яких обговорені заходи для погашення заборгованості.</w:t>
      </w:r>
    </w:p>
    <w:p w:rsidR="001E14A9" w:rsidRDefault="001E14A9" w:rsidP="007B5FC8">
      <w:pPr>
        <w:ind w:firstLine="851"/>
        <w:jc w:val="both"/>
        <w:rPr>
          <w:lang w:val="uk-UA"/>
        </w:rPr>
      </w:pPr>
      <w:r>
        <w:t xml:space="preserve">За результатами засідань комісії та проведених нарад керівників підприємств зобов’язано вжити всіх невідкладних заходів, спрямованих на усунення порушень законодавства в частині забезпечення своєчасної виплати заробітної плати та надходжень до міського та державного бюджетів. </w:t>
      </w:r>
    </w:p>
    <w:p w:rsidR="001E14A9" w:rsidRPr="001E14A9" w:rsidRDefault="001E14A9" w:rsidP="007B5FC8">
      <w:pPr>
        <w:ind w:firstLine="851"/>
        <w:jc w:val="both"/>
        <w:rPr>
          <w:lang w:val="uk-UA"/>
        </w:rPr>
      </w:pPr>
      <w:r>
        <w:rPr>
          <w:lang w:val="uk-UA"/>
        </w:rPr>
        <w:t>В</w:t>
      </w:r>
      <w:r>
        <w:t xml:space="preserve"> результаті проведеної роботи</w:t>
      </w:r>
      <w:r>
        <w:rPr>
          <w:lang w:val="uk-UA"/>
        </w:rPr>
        <w:t>,</w:t>
      </w:r>
      <w:r>
        <w:t xml:space="preserve"> впродовж 2019 року заборгованість зменшилась на 1 260,7 тис. грн. Повністю </w:t>
      </w:r>
      <w:r w:rsidR="00AF7231">
        <w:t xml:space="preserve">погашена заборгованість на: ДП </w:t>
      </w:r>
      <w:r w:rsidR="00AF7231">
        <w:rPr>
          <w:lang w:val="uk-UA"/>
        </w:rPr>
        <w:t>"</w:t>
      </w:r>
      <w:r>
        <w:t>Івано-Франківс</w:t>
      </w:r>
      <w:r w:rsidR="00AF7231">
        <w:t>ький військовий ліспромкомбінат</w:t>
      </w:r>
      <w:r w:rsidR="00AF7231">
        <w:rPr>
          <w:lang w:val="uk-UA"/>
        </w:rPr>
        <w:t>"</w:t>
      </w:r>
      <w:r w:rsidR="00AF7231">
        <w:t xml:space="preserve">, ТОВ </w:t>
      </w:r>
      <w:r w:rsidR="00AF7231">
        <w:rPr>
          <w:lang w:val="uk-UA"/>
        </w:rPr>
        <w:t>"</w:t>
      </w:r>
      <w:r>
        <w:t>Проектн</w:t>
      </w:r>
      <w:r w:rsidR="00AF7231">
        <w:t xml:space="preserve">о-вишукувальний інститут </w:t>
      </w:r>
      <w:r w:rsidR="00AF7231">
        <w:rPr>
          <w:lang w:val="uk-UA"/>
        </w:rPr>
        <w:t>"</w:t>
      </w:r>
      <w:r>
        <w:t>Івано-Франківськагропроект</w:t>
      </w:r>
      <w:r w:rsidR="00AF7231">
        <w:rPr>
          <w:lang w:val="uk-UA"/>
        </w:rPr>
        <w:t>"</w:t>
      </w:r>
      <w:r w:rsidR="00AF7231">
        <w:t xml:space="preserve"> та ПП </w:t>
      </w:r>
      <w:r w:rsidR="00AF7231">
        <w:rPr>
          <w:lang w:val="uk-UA"/>
        </w:rPr>
        <w:t>"</w:t>
      </w:r>
      <w:r>
        <w:t>ПМК-7</w:t>
      </w:r>
      <w:r w:rsidR="00AF7231">
        <w:rPr>
          <w:lang w:val="uk-UA"/>
        </w:rPr>
        <w:t>"</w:t>
      </w:r>
      <w:r>
        <w:t>. Повністю виплачена заборгована зар</w:t>
      </w:r>
      <w:r w:rsidR="00AF7231">
        <w:t xml:space="preserve">обітна плата працівникам на АТ </w:t>
      </w:r>
      <w:r w:rsidR="00AF7231">
        <w:rPr>
          <w:lang w:val="uk-UA"/>
        </w:rPr>
        <w:t>"</w:t>
      </w:r>
      <w:r>
        <w:t>Івано-Франків</w:t>
      </w:r>
      <w:r w:rsidR="00AF7231">
        <w:t>ський локомотиворемонтний завод</w:t>
      </w:r>
      <w:r w:rsidR="00AF7231">
        <w:rPr>
          <w:lang w:val="uk-UA"/>
        </w:rPr>
        <w:t>"</w:t>
      </w:r>
      <w:r>
        <w:t xml:space="preserve"> (заборгованість, яка обліковується станом на сьогоднішній день 117,3 тис. грн – це заробітна плата колишньому керівнику, яка оскаржується в судах).</w:t>
      </w:r>
    </w:p>
    <w:p w:rsidR="003A35B1" w:rsidRDefault="003A35B1" w:rsidP="007B5FC8">
      <w:pPr>
        <w:ind w:firstLine="851"/>
        <w:jc w:val="both"/>
        <w:rPr>
          <w:lang w:val="uk-UA"/>
        </w:rPr>
      </w:pPr>
      <w:r w:rsidRPr="009C5286">
        <w:rPr>
          <w:lang w:val="uk-UA"/>
        </w:rPr>
        <w:lastRenderedPageBreak/>
        <w:t xml:space="preserve">Для зменшення кількості суб’єктів господарської діяльності, які за результатами податкової звітності нараховують та виплачують заробітну плату у розмірі, нижче законодавчо встановленого мінімального рівня діє міська комісія з легалізації заробітної плати та зайнятості населення. </w:t>
      </w:r>
    </w:p>
    <w:p w:rsidR="003A35B1" w:rsidRDefault="003A35B1" w:rsidP="007B5FC8">
      <w:pPr>
        <w:ind w:firstLine="851"/>
        <w:jc w:val="both"/>
        <w:rPr>
          <w:lang w:val="uk-UA"/>
        </w:rPr>
      </w:pPr>
      <w:r w:rsidRPr="009C5286">
        <w:rPr>
          <w:lang w:val="uk-UA"/>
        </w:rPr>
        <w:t xml:space="preserve">У 2019 році відбулося 3 засідання комісії, проведена інформаційнороз’яснювальна робота із 119 суб’єктами господарювання, з них на комісії заслухано 42 СГД. Аналізуючи результати роботи комісії  можна зауважити, що значна частина роботодавців, заслуханих на засіданнях комісії та з якими проведена інформаційно-роз’яснювальна робота підвищила розмір заробітної плати найманих працівників до законодавчо встановленого мінімального рівня і вище. </w:t>
      </w:r>
      <w:r>
        <w:t xml:space="preserve">Також зменшується кількість осіб, які виконували роботи чи надавали послуги за договорами </w:t>
      </w:r>
      <w:r>
        <w:rPr>
          <w:lang w:val="uk-UA"/>
        </w:rPr>
        <w:t>цивільно-правового характеру</w:t>
      </w:r>
      <w:r>
        <w:t xml:space="preserve">, тобто роботодавці оформляють з ними трудові договори. За результатами роботи комісії у звітному періоді додатково оформлено 37 працівників, сума легалізованої заробітної плати – 154,4 тис. грн. </w:t>
      </w:r>
    </w:p>
    <w:p w:rsidR="003A35B1" w:rsidRDefault="003A35B1" w:rsidP="007B5FC8">
      <w:pPr>
        <w:ind w:firstLine="851"/>
        <w:jc w:val="both"/>
        <w:rPr>
          <w:szCs w:val="24"/>
          <w:highlight w:val="yellow"/>
          <w:lang w:val="uk-UA"/>
        </w:rPr>
      </w:pPr>
      <w:r w:rsidRPr="009C5286">
        <w:rPr>
          <w:lang w:val="uk-UA"/>
        </w:rPr>
        <w:t xml:space="preserve">Робочим органом міської комісії є рейдова міська робоча група з питань легалізації виплати заробітної плати та зайнятості населення. </w:t>
      </w:r>
      <w:r>
        <w:t xml:space="preserve">Станом на 01.01.2020р. рейдовою групою за 66 рейдів проведена інформаційна робота з 1431 суб’єктом господарювання. Виявлено 72 наймані працівники, якими не представлено документи про своє працевлаштування </w:t>
      </w:r>
      <w:r>
        <w:rPr>
          <w:lang w:val="uk-UA"/>
        </w:rPr>
        <w:t xml:space="preserve">у відповідності до вимог чинного законодавства. </w:t>
      </w:r>
      <w:r>
        <w:t xml:space="preserve">За результатами проведеної членами рейдової групи роботи, додатково було оформлено належним чином 82 наймані працівники, сума легалізованої заробітної плати – 342,2 тис. грн. </w:t>
      </w:r>
    </w:p>
    <w:p w:rsidR="007B5FC8" w:rsidRPr="007B5FC8" w:rsidRDefault="007B5FC8" w:rsidP="007B5FC8">
      <w:pPr>
        <w:ind w:firstLine="851"/>
        <w:jc w:val="both"/>
        <w:rPr>
          <w:highlight w:val="yellow"/>
          <w:lang w:val="uk-UA"/>
        </w:rPr>
      </w:pPr>
    </w:p>
    <w:p w:rsidR="007B5FC8" w:rsidRPr="00440CFE" w:rsidRDefault="007B5FC8" w:rsidP="007B5FC8">
      <w:pPr>
        <w:pStyle w:val="a7"/>
        <w:tabs>
          <w:tab w:val="left" w:pos="709"/>
        </w:tabs>
        <w:spacing w:after="0"/>
        <w:jc w:val="both"/>
        <w:outlineLvl w:val="0"/>
        <w:rPr>
          <w:i/>
          <w:sz w:val="28"/>
          <w:szCs w:val="28"/>
          <w:lang w:val="uk-UA"/>
        </w:rPr>
      </w:pPr>
      <w:r w:rsidRPr="00440CFE">
        <w:rPr>
          <w:i/>
          <w:sz w:val="28"/>
          <w:szCs w:val="28"/>
          <w:lang w:val="uk-UA"/>
        </w:rPr>
        <w:tab/>
        <w:t xml:space="preserve">4.8 Соціальний захист населення </w:t>
      </w:r>
    </w:p>
    <w:p w:rsidR="00A5420F" w:rsidRPr="00440CFE" w:rsidRDefault="007B5FC8" w:rsidP="007B5FC8">
      <w:pPr>
        <w:jc w:val="both"/>
        <w:rPr>
          <w:lang w:val="uk-UA"/>
        </w:rPr>
      </w:pPr>
      <w:r w:rsidRPr="00440CFE">
        <w:rPr>
          <w:lang w:val="uk-UA"/>
        </w:rPr>
        <w:t xml:space="preserve">          </w:t>
      </w:r>
      <w:r w:rsidR="00AF7231">
        <w:rPr>
          <w:lang w:val="uk-UA"/>
        </w:rPr>
        <w:t>С</w:t>
      </w:r>
      <w:r w:rsidR="00A5420F" w:rsidRPr="00440CFE">
        <w:t>таном на 01.01.2020 року на обліку перебуває 15288 одержувачів допомог. Виплачено соціаль</w:t>
      </w:r>
      <w:r w:rsidR="00440CFE" w:rsidRPr="00440CFE">
        <w:t>них допомог на загальну суму 30</w:t>
      </w:r>
      <w:r w:rsidR="00440CFE" w:rsidRPr="00440CFE">
        <w:rPr>
          <w:lang w:val="uk-UA"/>
        </w:rPr>
        <w:t>1</w:t>
      </w:r>
      <w:r w:rsidR="00A5420F" w:rsidRPr="00440CFE">
        <w:t xml:space="preserve"> млн грн. </w:t>
      </w:r>
    </w:p>
    <w:p w:rsidR="007B5FC8" w:rsidRPr="00440CFE" w:rsidRDefault="007B5FC8" w:rsidP="007B5FC8">
      <w:pPr>
        <w:tabs>
          <w:tab w:val="left" w:pos="0"/>
        </w:tabs>
        <w:ind w:firstLine="709"/>
        <w:jc w:val="both"/>
        <w:rPr>
          <w:lang w:val="uk-UA" w:eastAsia="cs-CZ"/>
        </w:rPr>
      </w:pPr>
      <w:r w:rsidRPr="00440CFE">
        <w:rPr>
          <w:lang w:val="uk-UA" w:eastAsia="cs-CZ"/>
        </w:rPr>
        <w:t xml:space="preserve">Одним із видів соціальних допомог є житлові субсидії - програма адресної соціальної допомоги малозабезпеченим верствам населення. </w:t>
      </w:r>
    </w:p>
    <w:p w:rsidR="00440CFE" w:rsidRDefault="00440CFE" w:rsidP="007B5FC8">
      <w:pPr>
        <w:ind w:firstLine="709"/>
        <w:jc w:val="both"/>
        <w:rPr>
          <w:color w:val="000000"/>
          <w:highlight w:val="yellow"/>
          <w:lang w:val="uk-UA"/>
        </w:rPr>
      </w:pPr>
      <w:r>
        <w:t xml:space="preserve">Для забезпечення ефективного та якісного прийому громадян з призначення державних субсидій на оплату житлово - комунальних </w:t>
      </w:r>
      <w:proofErr w:type="gramStart"/>
      <w:r>
        <w:t>послуг</w:t>
      </w:r>
      <w:r>
        <w:rPr>
          <w:lang w:val="uk-UA"/>
        </w:rPr>
        <w:t xml:space="preserve"> </w:t>
      </w:r>
      <w:r>
        <w:t xml:space="preserve"> у</w:t>
      </w:r>
      <w:proofErr w:type="gramEnd"/>
      <w:r>
        <w:t xml:space="preserve"> приміщенні відділу субсидій за адресою: вул. Військових ветеранів, 10А проведено ремонт та належним чином організовано роботу для обслуговування мешканців міста з питань надання субсидій на оплату житловокомунальних послуг</w:t>
      </w:r>
      <w:r>
        <w:rPr>
          <w:lang w:val="uk-UA"/>
        </w:rPr>
        <w:t xml:space="preserve">. Також </w:t>
      </w:r>
      <w:r w:rsidRPr="009C5286">
        <w:rPr>
          <w:lang w:val="uk-UA"/>
        </w:rPr>
        <w:t xml:space="preserve">додатково облаштовано робочі місця для обслуговування мешканців мікрорайонів з питань надання субсидій на оплату житлово-комунальних послуг та належним чином організовано роботу в приміщеннях Муніципальної інвестиційної управляючої компанії за адресами: </w:t>
      </w:r>
      <w:r w:rsidRPr="00F44AFD">
        <w:rPr>
          <w:lang w:val="uk-UA"/>
        </w:rPr>
        <w:t xml:space="preserve">вул. </w:t>
      </w:r>
      <w:r>
        <w:t>Гетьмана Мазепи, 185; вул. Івана Павла ІІ,4; вул. Галицька,124а.</w:t>
      </w:r>
    </w:p>
    <w:p w:rsidR="00440CFE" w:rsidRPr="00440CFE" w:rsidRDefault="00440CFE" w:rsidP="00B07213">
      <w:pPr>
        <w:ind w:firstLine="708"/>
        <w:jc w:val="both"/>
        <w:rPr>
          <w:color w:val="000000"/>
          <w:lang w:val="uk-UA"/>
        </w:rPr>
      </w:pPr>
      <w:r w:rsidRPr="00440CFE">
        <w:rPr>
          <w:color w:val="000000"/>
          <w:lang w:val="uk-UA"/>
        </w:rPr>
        <w:t>За призначенням житлової субсидії звернулися 9138 домогосподарст</w:t>
      </w:r>
      <w:r w:rsidR="00F44AFD">
        <w:rPr>
          <w:color w:val="000000"/>
          <w:lang w:val="uk-UA"/>
        </w:rPr>
        <w:t>в</w:t>
      </w:r>
      <w:r>
        <w:rPr>
          <w:color w:val="000000"/>
          <w:lang w:val="uk-UA"/>
        </w:rPr>
        <w:t>, з них п</w:t>
      </w:r>
      <w:r w:rsidRPr="00440CFE">
        <w:rPr>
          <w:color w:val="000000"/>
          <w:lang w:val="uk-UA"/>
        </w:rPr>
        <w:t>ризначено житлову субсидію 6777 домогосподарствам</w:t>
      </w:r>
      <w:r w:rsidR="00B07213">
        <w:rPr>
          <w:color w:val="000000"/>
          <w:lang w:val="uk-UA"/>
        </w:rPr>
        <w:t>,</w:t>
      </w:r>
      <w:r>
        <w:rPr>
          <w:color w:val="000000"/>
          <w:lang w:val="uk-UA"/>
        </w:rPr>
        <w:t xml:space="preserve"> в</w:t>
      </w:r>
      <w:r w:rsidRPr="00440CFE">
        <w:rPr>
          <w:color w:val="000000"/>
          <w:lang w:val="uk-UA"/>
        </w:rPr>
        <w:t>ідмовлено в призначенні субсидій</w:t>
      </w:r>
      <w:r w:rsidR="00B07213">
        <w:rPr>
          <w:color w:val="000000"/>
          <w:lang w:val="uk-UA"/>
        </w:rPr>
        <w:t xml:space="preserve"> </w:t>
      </w:r>
      <w:r w:rsidRPr="00440CFE">
        <w:rPr>
          <w:color w:val="000000"/>
          <w:lang w:val="uk-UA"/>
        </w:rPr>
        <w:t>138 домогосподарствам</w:t>
      </w:r>
      <w:r>
        <w:rPr>
          <w:color w:val="000000"/>
          <w:lang w:val="uk-UA"/>
        </w:rPr>
        <w:t>.</w:t>
      </w:r>
    </w:p>
    <w:p w:rsidR="00440CFE" w:rsidRDefault="00440CFE" w:rsidP="00B07213">
      <w:pPr>
        <w:ind w:firstLine="708"/>
        <w:jc w:val="both"/>
        <w:rPr>
          <w:color w:val="000000"/>
          <w:lang w:val="uk-UA"/>
        </w:rPr>
      </w:pPr>
      <w:r w:rsidRPr="00440CFE">
        <w:rPr>
          <w:color w:val="000000"/>
          <w:lang w:val="uk-UA"/>
        </w:rPr>
        <w:t>Отримують субсидію (в т.ч. автоматично) 15632 домогосподарства</w:t>
      </w:r>
      <w:r>
        <w:rPr>
          <w:color w:val="000000"/>
          <w:lang w:val="uk-UA"/>
        </w:rPr>
        <w:t xml:space="preserve">. </w:t>
      </w:r>
      <w:r w:rsidRPr="00440CFE">
        <w:rPr>
          <w:color w:val="000000"/>
          <w:lang w:val="uk-UA"/>
        </w:rPr>
        <w:t>Сума нарахованих субсидій станом на</w:t>
      </w:r>
      <w:r>
        <w:rPr>
          <w:color w:val="000000"/>
          <w:lang w:val="uk-UA"/>
        </w:rPr>
        <w:t xml:space="preserve"> </w:t>
      </w:r>
      <w:r w:rsidRPr="00440CFE">
        <w:rPr>
          <w:color w:val="000000"/>
          <w:lang w:val="uk-UA"/>
        </w:rPr>
        <w:t>31.12.2019р.</w:t>
      </w:r>
      <w:r>
        <w:rPr>
          <w:color w:val="000000"/>
          <w:lang w:val="uk-UA"/>
        </w:rPr>
        <w:t xml:space="preserve"> становить </w:t>
      </w:r>
      <w:r w:rsidRPr="00440CFE">
        <w:rPr>
          <w:color w:val="000000"/>
          <w:lang w:val="uk-UA"/>
        </w:rPr>
        <w:t>157</w:t>
      </w:r>
      <w:r>
        <w:rPr>
          <w:color w:val="000000"/>
          <w:lang w:val="uk-UA"/>
        </w:rPr>
        <w:t>,</w:t>
      </w:r>
      <w:r w:rsidRPr="00440CFE">
        <w:rPr>
          <w:color w:val="000000"/>
          <w:lang w:val="uk-UA"/>
        </w:rPr>
        <w:t xml:space="preserve">1 </w:t>
      </w:r>
      <w:r>
        <w:rPr>
          <w:color w:val="000000"/>
          <w:lang w:val="uk-UA"/>
        </w:rPr>
        <w:t>млн грн.</w:t>
      </w:r>
    </w:p>
    <w:p w:rsidR="00D24A0C" w:rsidRDefault="007B5FC8" w:rsidP="007B5FC8">
      <w:pPr>
        <w:tabs>
          <w:tab w:val="left" w:pos="709"/>
        </w:tabs>
        <w:jc w:val="both"/>
        <w:rPr>
          <w:lang w:val="uk-UA"/>
        </w:rPr>
      </w:pPr>
      <w:r w:rsidRPr="00440CFE">
        <w:rPr>
          <w:lang w:val="uk-UA"/>
        </w:rPr>
        <w:lastRenderedPageBreak/>
        <w:tab/>
      </w:r>
      <w:r w:rsidR="00D24A0C">
        <w:t>C</w:t>
      </w:r>
      <w:r w:rsidR="00D24A0C" w:rsidRPr="00F44AFD">
        <w:rPr>
          <w:lang w:val="uk-UA"/>
        </w:rPr>
        <w:t xml:space="preserve">таном на 01.01.2020 року в </w:t>
      </w:r>
      <w:r w:rsidR="00D24A0C">
        <w:t>WEB</w:t>
      </w:r>
      <w:r w:rsidR="00D24A0C" w:rsidRPr="00F44AFD">
        <w:rPr>
          <w:lang w:val="uk-UA"/>
        </w:rPr>
        <w:t xml:space="preserve"> – орієнтованій базі даних </w:t>
      </w:r>
      <w:r w:rsidR="009B13F9" w:rsidRPr="00F44AFD">
        <w:rPr>
          <w:lang w:val="uk-UA"/>
        </w:rPr>
        <w:t>"</w:t>
      </w:r>
      <w:r w:rsidR="00D24A0C" w:rsidRPr="00F44AFD">
        <w:rPr>
          <w:lang w:val="uk-UA"/>
        </w:rPr>
        <w:t>Облік ВПО</w:t>
      </w:r>
      <w:r w:rsidR="009B13F9" w:rsidRPr="00F44AFD">
        <w:rPr>
          <w:lang w:val="uk-UA"/>
        </w:rPr>
        <w:t>"</w:t>
      </w:r>
      <w:r w:rsidR="00D24A0C" w:rsidRPr="00F44AFD">
        <w:rPr>
          <w:lang w:val="uk-UA"/>
        </w:rPr>
        <w:t xml:space="preserve"> перебуває 2260 внутрішньо переміщених осіб, з них: </w:t>
      </w:r>
      <w:r w:rsidR="00D24A0C" w:rsidRPr="00FC35A9">
        <w:rPr>
          <w:lang w:val="uk-UA"/>
        </w:rPr>
        <w:t>1152 працездатні особи;</w:t>
      </w:r>
      <w:r w:rsidR="00F44AFD">
        <w:rPr>
          <w:lang w:val="uk-UA"/>
        </w:rPr>
        <w:t xml:space="preserve"> 596 дітей</w:t>
      </w:r>
      <w:r w:rsidR="00D24A0C" w:rsidRPr="00FC35A9">
        <w:rPr>
          <w:lang w:val="uk-UA"/>
        </w:rPr>
        <w:t>; 97 осіб з інвалідністю;</w:t>
      </w:r>
      <w:r w:rsidR="00F44AFD">
        <w:rPr>
          <w:lang w:val="uk-UA"/>
        </w:rPr>
        <w:t xml:space="preserve"> </w:t>
      </w:r>
      <w:r w:rsidR="00D24A0C" w:rsidRPr="00FC35A9">
        <w:rPr>
          <w:lang w:val="uk-UA"/>
        </w:rPr>
        <w:t xml:space="preserve">415 пенсіонерів. </w:t>
      </w:r>
    </w:p>
    <w:p w:rsidR="00440CFE" w:rsidRDefault="00D24A0C" w:rsidP="007B5FC8">
      <w:pPr>
        <w:tabs>
          <w:tab w:val="left" w:pos="709"/>
        </w:tabs>
        <w:jc w:val="both"/>
        <w:rPr>
          <w:lang w:val="uk-UA"/>
        </w:rPr>
      </w:pPr>
      <w:r>
        <w:rPr>
          <w:lang w:val="uk-UA"/>
        </w:rPr>
        <w:tab/>
      </w:r>
      <w:r w:rsidRPr="00FC35A9">
        <w:rPr>
          <w:lang w:val="uk-UA"/>
        </w:rPr>
        <w:t xml:space="preserve">Відповідно до постанови Кабінету Міністрів України від 01.10.14 №505 </w:t>
      </w:r>
      <w:r w:rsidR="009B13F9">
        <w:rPr>
          <w:lang w:val="uk-UA"/>
        </w:rPr>
        <w:t>"</w:t>
      </w:r>
      <w:r w:rsidRPr="00FC35A9">
        <w:rPr>
          <w:lang w:val="uk-UA"/>
        </w:rPr>
        <w:t>Про надання щомісячної адресної допомоги особам, які переміщуються з тимчасово окупованої території України та районів проведення антитерористичної операції, для покриття витрат на проживання, в тому числі на оплату житлово-комунальних послуг</w:t>
      </w:r>
      <w:r w:rsidR="009B13F9">
        <w:rPr>
          <w:lang w:val="uk-UA"/>
        </w:rPr>
        <w:t>"</w:t>
      </w:r>
      <w:r w:rsidRPr="00FC35A9">
        <w:rPr>
          <w:lang w:val="uk-UA"/>
        </w:rPr>
        <w:t xml:space="preserve"> щомісячна адресна допомога призначена 426 сім’ям. Профінансовано за 2019 рік </w:t>
      </w:r>
      <w:r>
        <w:rPr>
          <w:lang w:val="uk-UA"/>
        </w:rPr>
        <w:t xml:space="preserve">близько </w:t>
      </w:r>
      <w:r w:rsidRPr="00FC35A9">
        <w:rPr>
          <w:lang w:val="uk-UA"/>
        </w:rPr>
        <w:t>8</w:t>
      </w:r>
      <w:r>
        <w:rPr>
          <w:lang w:val="uk-UA"/>
        </w:rPr>
        <w:t xml:space="preserve">,5 </w:t>
      </w:r>
      <w:r w:rsidRPr="00FC35A9">
        <w:rPr>
          <w:lang w:val="uk-UA"/>
        </w:rPr>
        <w:t>млн грн.</w:t>
      </w:r>
    </w:p>
    <w:p w:rsidR="00E33404" w:rsidRDefault="00440CFE" w:rsidP="007B5FC8">
      <w:pPr>
        <w:tabs>
          <w:tab w:val="left" w:pos="709"/>
        </w:tabs>
        <w:jc w:val="both"/>
        <w:rPr>
          <w:lang w:val="uk-UA"/>
        </w:rPr>
      </w:pPr>
      <w:r>
        <w:rPr>
          <w:lang w:val="uk-UA"/>
        </w:rPr>
        <w:tab/>
      </w:r>
      <w:r w:rsidRPr="00FC35A9">
        <w:rPr>
          <w:lang w:val="uk-UA"/>
        </w:rPr>
        <w:t xml:space="preserve">Рішенням Івано-Франківської міської ради від 14.12.2018р. №360-22 </w:t>
      </w:r>
      <w:r w:rsidR="009B13F9">
        <w:rPr>
          <w:lang w:val="uk-UA"/>
        </w:rPr>
        <w:t>"</w:t>
      </w:r>
      <w:r w:rsidRPr="00FC35A9">
        <w:rPr>
          <w:lang w:val="uk-UA"/>
        </w:rPr>
        <w:t>Про місцевий бюджет на 2019 рік</w:t>
      </w:r>
      <w:r w:rsidR="009B13F9">
        <w:rPr>
          <w:lang w:val="uk-UA"/>
        </w:rPr>
        <w:t>"</w:t>
      </w:r>
      <w:r w:rsidR="00F44AFD">
        <w:rPr>
          <w:lang w:val="uk-UA"/>
        </w:rPr>
        <w:t xml:space="preserve"> передбачено 1 млн грн</w:t>
      </w:r>
      <w:r w:rsidRPr="00FC35A9">
        <w:rPr>
          <w:lang w:val="uk-UA"/>
        </w:rPr>
        <w:t xml:space="preserve"> для надання допомог Івано-Франківцям, які брали участь в зоні АТО . </w:t>
      </w:r>
      <w:r w:rsidR="00E33404">
        <w:rPr>
          <w:lang w:val="uk-UA"/>
        </w:rPr>
        <w:tab/>
      </w:r>
      <w:r>
        <w:t xml:space="preserve">За 2019 рік надано матеріальну допомогу учасникам АТО та членам сімей загиблих (померлих) учасників АТО на загальну суму 491 тис. </w:t>
      </w:r>
      <w:proofErr w:type="gramStart"/>
      <w:r>
        <w:t>грн</w:t>
      </w:r>
      <w:r w:rsidR="00E33404">
        <w:rPr>
          <w:lang w:val="uk-UA"/>
        </w:rPr>
        <w:t xml:space="preserve">, </w:t>
      </w:r>
      <w:r w:rsidR="00F44AFD">
        <w:t xml:space="preserve"> а</w:t>
      </w:r>
      <w:proofErr w:type="gramEnd"/>
      <w:r w:rsidR="00F44AFD">
        <w:t xml:space="preserve"> саме</w:t>
      </w:r>
      <w:r>
        <w:t xml:space="preserve">: </w:t>
      </w:r>
    </w:p>
    <w:p w:rsidR="00E33404" w:rsidRDefault="00E33404" w:rsidP="00F44AFD">
      <w:pPr>
        <w:tabs>
          <w:tab w:val="left" w:pos="709"/>
        </w:tabs>
        <w:ind w:firstLine="426"/>
        <w:jc w:val="both"/>
        <w:rPr>
          <w:lang w:val="uk-UA"/>
        </w:rPr>
      </w:pPr>
      <w:r>
        <w:rPr>
          <w:lang w:val="uk-UA"/>
        </w:rPr>
        <w:t>-</w:t>
      </w:r>
      <w:r w:rsidR="00440CFE">
        <w:t xml:space="preserve"> 2 членам сімей загиблих учасників АТО на суму 100 тис. грн; </w:t>
      </w:r>
    </w:p>
    <w:p w:rsidR="00E33404" w:rsidRDefault="00440CFE" w:rsidP="00F44AFD">
      <w:pPr>
        <w:tabs>
          <w:tab w:val="left" w:pos="709"/>
        </w:tabs>
        <w:ind w:firstLine="426"/>
        <w:jc w:val="both"/>
        <w:rPr>
          <w:lang w:val="uk-UA"/>
        </w:rPr>
      </w:pPr>
      <w:r>
        <w:t xml:space="preserve">- 1 члену сім’ї загиблого учасника АТО до роковин загибелі надано допомогу 5 тис.грн. </w:t>
      </w:r>
    </w:p>
    <w:p w:rsidR="00E33404" w:rsidRDefault="00440CFE" w:rsidP="00F44AFD">
      <w:pPr>
        <w:tabs>
          <w:tab w:val="left" w:pos="709"/>
        </w:tabs>
        <w:ind w:firstLine="426"/>
        <w:jc w:val="both"/>
        <w:rPr>
          <w:lang w:val="uk-UA"/>
        </w:rPr>
      </w:pPr>
      <w:r>
        <w:t>- 8 пораненим учасникам у</w:t>
      </w:r>
      <w:r w:rsidR="00F44AFD">
        <w:t xml:space="preserve"> зоні АТО на суму 71,5 тис. грн</w:t>
      </w:r>
      <w:r>
        <w:t>;</w:t>
      </w:r>
    </w:p>
    <w:p w:rsidR="00E33404" w:rsidRDefault="00440CFE" w:rsidP="00F44AFD">
      <w:pPr>
        <w:tabs>
          <w:tab w:val="left" w:pos="709"/>
        </w:tabs>
        <w:ind w:firstLine="426"/>
        <w:jc w:val="both"/>
        <w:rPr>
          <w:lang w:val="uk-UA"/>
        </w:rPr>
      </w:pPr>
      <w:r>
        <w:t xml:space="preserve"> - 68 учасникам АТО та членам їх сімей на загальну суму 231,5 тис. грн; </w:t>
      </w:r>
    </w:p>
    <w:p w:rsidR="00E33404" w:rsidRPr="00F44AFD" w:rsidRDefault="00440CFE" w:rsidP="00F44AFD">
      <w:pPr>
        <w:tabs>
          <w:tab w:val="left" w:pos="709"/>
        </w:tabs>
        <w:ind w:firstLine="426"/>
        <w:jc w:val="both"/>
        <w:rPr>
          <w:lang w:val="uk-UA"/>
        </w:rPr>
      </w:pPr>
      <w:r>
        <w:t>- 3 членам сімей загиблих (померлих) учасників АТО н</w:t>
      </w:r>
      <w:r w:rsidR="00F44AFD">
        <w:t>а лікування на суму 3 тис. грн</w:t>
      </w:r>
      <w:r w:rsidR="00F44AFD">
        <w:rPr>
          <w:lang w:val="uk-UA"/>
        </w:rPr>
        <w:t>;</w:t>
      </w:r>
    </w:p>
    <w:p w:rsidR="00E33404" w:rsidRDefault="00440CFE" w:rsidP="00F44AFD">
      <w:pPr>
        <w:tabs>
          <w:tab w:val="left" w:pos="709"/>
        </w:tabs>
        <w:ind w:firstLine="426"/>
        <w:jc w:val="both"/>
        <w:rPr>
          <w:lang w:val="uk-UA"/>
        </w:rPr>
      </w:pPr>
      <w:r>
        <w:t xml:space="preserve">- 2 членам сімей загиблих (померлих) учасників АТО надано одноразову матеріальну допомогу до роковин загибелі на суму 80 тис. грн. </w:t>
      </w:r>
    </w:p>
    <w:p w:rsidR="007B5FC8" w:rsidRDefault="00E33404" w:rsidP="007B5FC8">
      <w:pPr>
        <w:tabs>
          <w:tab w:val="left" w:pos="709"/>
        </w:tabs>
        <w:jc w:val="both"/>
        <w:rPr>
          <w:lang w:val="uk-UA"/>
        </w:rPr>
      </w:pPr>
      <w:r>
        <w:rPr>
          <w:lang w:val="uk-UA"/>
        </w:rPr>
        <w:tab/>
      </w:r>
      <w:r w:rsidR="00440CFE">
        <w:t>За 2019 рік 43 родинам загиблих (померлих) учасників АТО надано матеріальн</w:t>
      </w:r>
      <w:r>
        <w:rPr>
          <w:lang w:val="uk-UA"/>
        </w:rPr>
        <w:t>і</w:t>
      </w:r>
      <w:r w:rsidR="00440CFE">
        <w:t xml:space="preserve"> допомог</w:t>
      </w:r>
      <w:r>
        <w:rPr>
          <w:lang w:val="uk-UA"/>
        </w:rPr>
        <w:t>и</w:t>
      </w:r>
      <w:r w:rsidR="00440CFE">
        <w:t xml:space="preserve"> в сумі 1</w:t>
      </w:r>
      <w:r>
        <w:rPr>
          <w:lang w:val="uk-UA"/>
        </w:rPr>
        <w:t>,2</w:t>
      </w:r>
      <w:r>
        <w:t xml:space="preserve"> млн</w:t>
      </w:r>
      <w:r w:rsidR="00440CFE">
        <w:t xml:space="preserve"> грн</w:t>
      </w:r>
      <w:r>
        <w:rPr>
          <w:lang w:val="uk-UA"/>
        </w:rPr>
        <w:t>.</w:t>
      </w:r>
    </w:p>
    <w:p w:rsidR="00E33404" w:rsidRPr="00E33404" w:rsidRDefault="00E33404" w:rsidP="007B5FC8">
      <w:pPr>
        <w:tabs>
          <w:tab w:val="left" w:pos="709"/>
        </w:tabs>
        <w:jc w:val="both"/>
        <w:rPr>
          <w:lang w:val="uk-UA"/>
        </w:rPr>
      </w:pPr>
      <w:r>
        <w:rPr>
          <w:lang w:val="uk-UA"/>
        </w:rPr>
        <w:tab/>
      </w:r>
      <w:r>
        <w:t>Станом на 01.01.2020 року в Єдиному державному автоматизованому реєстрі осіб, які мають право на пільги, зареєстровано 44647 осіб, пільгами з оплати за житлово-комунальні послуги користується 16417 осіб.</w:t>
      </w:r>
    </w:p>
    <w:p w:rsidR="00D24A0C" w:rsidRDefault="00E33404" w:rsidP="007B5FC8">
      <w:pPr>
        <w:tabs>
          <w:tab w:val="left" w:pos="709"/>
        </w:tabs>
        <w:jc w:val="both"/>
        <w:rPr>
          <w:lang w:val="uk-UA"/>
        </w:rPr>
      </w:pPr>
      <w:r w:rsidRPr="00E33404">
        <w:rPr>
          <w:color w:val="000000"/>
          <w:shd w:val="clear" w:color="auto" w:fill="FFFFFF"/>
          <w:lang w:val="uk-UA"/>
        </w:rPr>
        <w:tab/>
      </w:r>
      <w:r w:rsidRPr="00E33404">
        <w:t>З 01.01.2019 року по 01.10.2019 року за рахунок коштів субвенції з</w:t>
      </w:r>
      <w:r>
        <w:t xml:space="preserve"> державного бюджету на оплату житлово-комунальних послуг організаціямнадавачам послуг за надані пільги відшкодовано 46</w:t>
      </w:r>
      <w:r>
        <w:rPr>
          <w:lang w:val="uk-UA"/>
        </w:rPr>
        <w:t>,6</w:t>
      </w:r>
      <w:r>
        <w:t xml:space="preserve"> млн грн.</w:t>
      </w:r>
    </w:p>
    <w:p w:rsidR="00E33404" w:rsidRDefault="00E33404" w:rsidP="007B5FC8">
      <w:pPr>
        <w:tabs>
          <w:tab w:val="left" w:pos="709"/>
        </w:tabs>
        <w:jc w:val="both"/>
        <w:rPr>
          <w:lang w:val="uk-UA"/>
        </w:rPr>
      </w:pPr>
      <w:r>
        <w:rPr>
          <w:lang w:val="uk-UA"/>
        </w:rPr>
        <w:tab/>
      </w:r>
      <w:r>
        <w:t>На 2019 рік у місцевому бюджеті було передбачено кошти для надання допомог дітям з онкологічними захворюваннями в сумі 1</w:t>
      </w:r>
      <w:r>
        <w:rPr>
          <w:lang w:val="uk-UA"/>
        </w:rPr>
        <w:t xml:space="preserve">,5 </w:t>
      </w:r>
      <w:r>
        <w:t>млн грн. Відповідно до Положення про комісію з надання допомоги онкохворим дітям надавалась допомога родичам дітей з онкологічним захворюванням. За період 2019 року проведено 4 засідання комісії з надання допомоги онкохворим дітям, на яких розглянуто 6 звернень від батьків (близьких родичів) онкохворих дітей та відповідно до рішень виконавчого комітету міської ради виділено матеріальну допомогу на загальну суму 650 тис. грн.</w:t>
      </w:r>
    </w:p>
    <w:p w:rsidR="00E33404" w:rsidRDefault="00E33404" w:rsidP="007B5FC8">
      <w:pPr>
        <w:tabs>
          <w:tab w:val="left" w:pos="709"/>
        </w:tabs>
        <w:jc w:val="both"/>
        <w:rPr>
          <w:lang w:val="uk-UA"/>
        </w:rPr>
      </w:pPr>
      <w:r>
        <w:rPr>
          <w:lang w:val="uk-UA"/>
        </w:rPr>
        <w:tab/>
      </w:r>
      <w:r w:rsidRPr="009C5286">
        <w:rPr>
          <w:lang w:val="uk-UA"/>
        </w:rPr>
        <w:t>Рішенням Координаційної ради з питань організації відпочинку та оздоровлення дітей від 15.05.2019 року департаменту соціальної політики виділено з міського бю</w:t>
      </w:r>
      <w:r w:rsidR="00055EED">
        <w:rPr>
          <w:lang w:val="uk-UA"/>
        </w:rPr>
        <w:t>джету кошти в сумі 194 тис. грн</w:t>
      </w:r>
      <w:r w:rsidRPr="009C5286">
        <w:rPr>
          <w:lang w:val="uk-UA"/>
        </w:rPr>
        <w:t xml:space="preserve"> для закупівлі путівок дітям пільгових категорій у </w:t>
      </w:r>
      <w:r w:rsidR="00055EED">
        <w:rPr>
          <w:lang w:val="uk-UA"/>
        </w:rPr>
        <w:t>п</w:t>
      </w:r>
      <w:r w:rsidRPr="009C5286">
        <w:rPr>
          <w:lang w:val="uk-UA"/>
        </w:rPr>
        <w:t xml:space="preserve">озаміському закладі оздоровлення та відпочинку </w:t>
      </w:r>
      <w:r w:rsidR="009B13F9">
        <w:rPr>
          <w:lang w:val="uk-UA"/>
        </w:rPr>
        <w:t>"</w:t>
      </w:r>
      <w:r w:rsidRPr="009C5286">
        <w:rPr>
          <w:lang w:val="uk-UA"/>
        </w:rPr>
        <w:t>Лімниця</w:t>
      </w:r>
      <w:r w:rsidR="009B13F9">
        <w:rPr>
          <w:lang w:val="uk-UA"/>
        </w:rPr>
        <w:t>"</w:t>
      </w:r>
      <w:r w:rsidRPr="009C5286">
        <w:rPr>
          <w:lang w:val="uk-UA"/>
        </w:rPr>
        <w:t xml:space="preserve"> Івано-Франківської міської ради Івано-Франківської області. </w:t>
      </w:r>
      <w:r>
        <w:t xml:space="preserve">Закуплено 34 путівки та в період з 02.06.2019 року по 22.06.2019 року </w:t>
      </w:r>
      <w:r>
        <w:lastRenderedPageBreak/>
        <w:t xml:space="preserve">оздоровлено 34 дитини з малозабезпечених, багатодітних сімей, дітей які є внутрішньо переміщеними та дітей, батьки яких брали участь в АТО. </w:t>
      </w:r>
    </w:p>
    <w:p w:rsidR="00E33404" w:rsidRPr="00E33404" w:rsidRDefault="00E33404" w:rsidP="007B5FC8">
      <w:pPr>
        <w:tabs>
          <w:tab w:val="left" w:pos="709"/>
        </w:tabs>
        <w:jc w:val="both"/>
        <w:rPr>
          <w:color w:val="000000"/>
          <w:highlight w:val="yellow"/>
          <w:shd w:val="clear" w:color="auto" w:fill="FFFFFF"/>
          <w:lang w:val="uk-UA"/>
        </w:rPr>
      </w:pPr>
      <w:r>
        <w:rPr>
          <w:lang w:val="uk-UA"/>
        </w:rPr>
        <w:tab/>
      </w:r>
      <w:r w:rsidRPr="009C5286">
        <w:rPr>
          <w:lang w:val="uk-UA"/>
        </w:rPr>
        <w:t xml:space="preserve">На виконання рішень виконавчого комітету міської ради </w:t>
      </w:r>
      <w:r w:rsidR="009B13F9">
        <w:rPr>
          <w:lang w:val="uk-UA"/>
        </w:rPr>
        <w:t>"</w:t>
      </w:r>
      <w:r w:rsidRPr="009C5286">
        <w:rPr>
          <w:lang w:val="uk-UA"/>
        </w:rPr>
        <w:t>Про проведення заходів з відпочинку осіб похилого віку</w:t>
      </w:r>
      <w:r w:rsidR="009B13F9">
        <w:rPr>
          <w:lang w:val="uk-UA"/>
        </w:rPr>
        <w:t>"</w:t>
      </w:r>
      <w:r w:rsidRPr="009C5286">
        <w:rPr>
          <w:lang w:val="uk-UA"/>
        </w:rPr>
        <w:t xml:space="preserve"> спільно із </w:t>
      </w:r>
      <w:r w:rsidR="00055EED">
        <w:rPr>
          <w:lang w:val="uk-UA"/>
        </w:rPr>
        <w:t>п</w:t>
      </w:r>
      <w:r w:rsidRPr="009C5286">
        <w:rPr>
          <w:lang w:val="uk-UA"/>
        </w:rPr>
        <w:t xml:space="preserve">озаміським закладом оздоровлення та відпочинку </w:t>
      </w:r>
      <w:r w:rsidR="009B13F9">
        <w:rPr>
          <w:lang w:val="uk-UA"/>
        </w:rPr>
        <w:t>"</w:t>
      </w:r>
      <w:r w:rsidRPr="009C5286">
        <w:rPr>
          <w:lang w:val="uk-UA"/>
        </w:rPr>
        <w:t>Лімниця</w:t>
      </w:r>
      <w:r w:rsidR="009B13F9">
        <w:rPr>
          <w:lang w:val="uk-UA"/>
        </w:rPr>
        <w:t>"</w:t>
      </w:r>
      <w:r w:rsidRPr="009C5286">
        <w:rPr>
          <w:lang w:val="uk-UA"/>
        </w:rPr>
        <w:t xml:space="preserve"> Івано-Франківської міської ради в період з 01.04.2019 року по 24.04.2019 року проведено організацію відпочинку 191 особи похилого віку на суму 150</w:t>
      </w:r>
      <w:r>
        <w:rPr>
          <w:lang w:val="uk-UA"/>
        </w:rPr>
        <w:t>,4</w:t>
      </w:r>
      <w:r w:rsidRPr="009C5286">
        <w:rPr>
          <w:lang w:val="uk-UA"/>
        </w:rPr>
        <w:t xml:space="preserve"> тис. грн, в період з 16.09.2019 року по 09.10.2019 року проведено організацію відпочинку 198 осіб похилого віку на суму 155 тис. грн.</w:t>
      </w:r>
    </w:p>
    <w:p w:rsidR="00E33404" w:rsidRDefault="00E33404" w:rsidP="007B5FC8">
      <w:pPr>
        <w:ind w:firstLine="708"/>
        <w:jc w:val="both"/>
        <w:rPr>
          <w:lang w:val="uk-UA"/>
        </w:rPr>
      </w:pPr>
      <w:r>
        <w:t>За 2019 рік відшкодовано витрат за безкоштовне перевезення пільгових категорій населення у міському електрота автотранспорті, спеціальних пасажирських перевезень до садово-городніх масивів та кладовища, залізничному транспорті, що фінансуються за рахунок коштів міського бюджету:</w:t>
      </w:r>
    </w:p>
    <w:p w:rsidR="00E33404" w:rsidRDefault="00E33404" w:rsidP="007B5FC8">
      <w:pPr>
        <w:ind w:firstLine="708"/>
        <w:jc w:val="both"/>
        <w:rPr>
          <w:lang w:val="uk-UA"/>
        </w:rPr>
      </w:pPr>
      <w:r>
        <w:t>- 23</w:t>
      </w:r>
      <w:r>
        <w:rPr>
          <w:lang w:val="uk-UA"/>
        </w:rPr>
        <w:t>,9</w:t>
      </w:r>
      <w:r>
        <w:t xml:space="preserve"> млн</w:t>
      </w:r>
      <w:r>
        <w:rPr>
          <w:lang w:val="uk-UA"/>
        </w:rPr>
        <w:t xml:space="preserve"> </w:t>
      </w:r>
      <w:r w:rsidR="00055EED">
        <w:t>грн</w:t>
      </w:r>
      <w:r>
        <w:t xml:space="preserve"> на компенсаційні виплати на пільговий проїзд електротранспортом окремих категорій громадян; </w:t>
      </w:r>
    </w:p>
    <w:p w:rsidR="00E33404" w:rsidRDefault="00E33404" w:rsidP="007B5FC8">
      <w:pPr>
        <w:ind w:firstLine="708"/>
        <w:jc w:val="both"/>
        <w:rPr>
          <w:lang w:val="uk-UA"/>
        </w:rPr>
      </w:pPr>
      <w:r>
        <w:t>- 15</w:t>
      </w:r>
      <w:r>
        <w:rPr>
          <w:lang w:val="uk-UA"/>
        </w:rPr>
        <w:t>,6</w:t>
      </w:r>
      <w:r>
        <w:t xml:space="preserve"> млн грн на компенсаційні виплати на пільговий проїзд автомобільним транспортом окремих категорій громадян. </w:t>
      </w:r>
    </w:p>
    <w:p w:rsidR="00E33404" w:rsidRDefault="00E33404" w:rsidP="007B5FC8">
      <w:pPr>
        <w:ind w:firstLine="708"/>
        <w:jc w:val="both"/>
        <w:rPr>
          <w:highlight w:val="yellow"/>
          <w:lang w:val="uk-UA"/>
        </w:rPr>
      </w:pPr>
      <w:r>
        <w:t>- 199</w:t>
      </w:r>
      <w:r>
        <w:rPr>
          <w:lang w:val="uk-UA"/>
        </w:rPr>
        <w:t>,9</w:t>
      </w:r>
      <w:r w:rsidR="00055EED">
        <w:t xml:space="preserve"> тис. грн</w:t>
      </w:r>
      <w:r>
        <w:t xml:space="preserve"> на компенсаційні виплати на пільговий проїзд окремих категорій громадян на залізничному транспорті.</w:t>
      </w:r>
    </w:p>
    <w:p w:rsidR="00E33404" w:rsidRPr="00055EED" w:rsidRDefault="007B5FC8" w:rsidP="007B5FC8">
      <w:pPr>
        <w:suppressAutoHyphens/>
        <w:ind w:firstLine="709"/>
        <w:jc w:val="both"/>
        <w:rPr>
          <w:rFonts w:eastAsia="TimesNewRomanOOEnc"/>
          <w:szCs w:val="24"/>
          <w:lang w:val="uk-UA" w:eastAsia="zh-CN"/>
        </w:rPr>
      </w:pPr>
      <w:r w:rsidRPr="00E33404">
        <w:rPr>
          <w:szCs w:val="24"/>
          <w:lang w:val="uk-UA" w:eastAsia="zh-CN"/>
        </w:rPr>
        <w:t xml:space="preserve">На виконання рішення виконавчого комітету Івано-Франківської міської ради від </w:t>
      </w:r>
      <w:r w:rsidRPr="00E33404">
        <w:rPr>
          <w:color w:val="000000"/>
          <w:szCs w:val="24"/>
          <w:lang w:val="uk-UA" w:eastAsia="zh-CN"/>
        </w:rPr>
        <w:t>01.03.2018р.  №214 "</w:t>
      </w:r>
      <w:r w:rsidRPr="00E33404">
        <w:rPr>
          <w:rFonts w:eastAsia="TimesNewRomanOOEnc"/>
          <w:szCs w:val="24"/>
          <w:lang w:val="uk-UA" w:eastAsia="zh-CN"/>
        </w:rPr>
        <w:t xml:space="preserve">Про затвердження Положення про багатофункціональну електронну картку "Картка іванофранківця" в новій редакції" сформовано список осіб, мешканців міста Івано-Франківська та сіл Івано-Франківської міської ради (Крихівці, Микитинці, Угорники, Хриплин, Вовчинець), які отримують пенсію та мають право на пільговий проїзд в громадському транспорті. </w:t>
      </w:r>
      <w:r w:rsidR="00E33404" w:rsidRPr="00E33404">
        <w:t xml:space="preserve">Станом на 01.01.2020 року прийнято 6437 заяв. Всього на виготовлення електронної картки </w:t>
      </w:r>
      <w:r w:rsidR="009B13F9">
        <w:t>"</w:t>
      </w:r>
      <w:r w:rsidR="00E33404" w:rsidRPr="00E33404">
        <w:t>Картка іванофранківця</w:t>
      </w:r>
      <w:r w:rsidR="009B13F9">
        <w:t>"</w:t>
      </w:r>
      <w:r w:rsidR="00E33404" w:rsidRPr="00E33404">
        <w:t xml:space="preserve"> зареєстровано 27378 людей</w:t>
      </w:r>
      <w:r w:rsidR="00055EED">
        <w:rPr>
          <w:lang w:val="uk-UA"/>
        </w:rPr>
        <w:t>.</w:t>
      </w:r>
    </w:p>
    <w:p w:rsidR="007B5FC8" w:rsidRPr="00E33404" w:rsidRDefault="007B5FC8" w:rsidP="007B5FC8">
      <w:pPr>
        <w:ind w:firstLine="700"/>
        <w:jc w:val="both"/>
        <w:rPr>
          <w:lang w:val="uk-UA"/>
        </w:rPr>
      </w:pPr>
      <w:r w:rsidRPr="00E33404">
        <w:rPr>
          <w:lang w:val="uk-UA"/>
        </w:rPr>
        <w:t xml:space="preserve">За наданням послуги "Соціальне таксі" до Івано-Франківського територіального центру соціального обслуговування (надання соціальних послуг) звернулося </w:t>
      </w:r>
      <w:r w:rsidR="00E33404" w:rsidRPr="00E33404">
        <w:rPr>
          <w:lang w:val="uk-UA"/>
        </w:rPr>
        <w:t>8</w:t>
      </w:r>
      <w:r w:rsidRPr="00E33404">
        <w:rPr>
          <w:lang w:val="uk-UA"/>
        </w:rPr>
        <w:t xml:space="preserve">0 осіб, яким надано </w:t>
      </w:r>
      <w:r w:rsidR="00E33404" w:rsidRPr="00E33404">
        <w:rPr>
          <w:lang w:val="uk-UA"/>
        </w:rPr>
        <w:t>900</w:t>
      </w:r>
      <w:r w:rsidRPr="00E33404">
        <w:rPr>
          <w:szCs w:val="36"/>
          <w:lang w:val="uk-UA"/>
        </w:rPr>
        <w:t xml:space="preserve"> </w:t>
      </w:r>
      <w:r w:rsidRPr="00E33404">
        <w:rPr>
          <w:lang w:val="uk-UA"/>
        </w:rPr>
        <w:t>послуг.</w:t>
      </w:r>
    </w:p>
    <w:p w:rsidR="007B5FC8" w:rsidRPr="007B5FC8" w:rsidRDefault="007B5FC8" w:rsidP="007B5FC8">
      <w:pPr>
        <w:jc w:val="both"/>
        <w:rPr>
          <w:highlight w:val="yellow"/>
          <w:lang w:val="uk-UA"/>
        </w:rPr>
      </w:pPr>
    </w:p>
    <w:p w:rsidR="007B5FC8" w:rsidRPr="002C2EEC" w:rsidRDefault="007B5FC8" w:rsidP="007B5FC8">
      <w:pPr>
        <w:pStyle w:val="a7"/>
        <w:tabs>
          <w:tab w:val="left" w:pos="993"/>
        </w:tabs>
        <w:spacing w:after="0"/>
        <w:ind w:left="0" w:firstLine="709"/>
        <w:jc w:val="both"/>
        <w:outlineLvl w:val="0"/>
        <w:rPr>
          <w:i/>
          <w:sz w:val="28"/>
          <w:szCs w:val="28"/>
          <w:lang w:val="uk-UA"/>
        </w:rPr>
      </w:pPr>
      <w:r w:rsidRPr="002C2EEC">
        <w:rPr>
          <w:i/>
          <w:sz w:val="28"/>
          <w:szCs w:val="28"/>
          <w:lang w:val="uk-UA"/>
        </w:rPr>
        <w:t>5. Охорона навколишнього природного середовища та цивільний захист населення на території міста Івано-Франківська від надзвичайних ситуацій природного і техногенного характеру</w:t>
      </w:r>
    </w:p>
    <w:p w:rsidR="002C2EEC" w:rsidRDefault="007B5FC8" w:rsidP="007B5FC8">
      <w:pPr>
        <w:pStyle w:val="15"/>
        <w:spacing w:after="0" w:line="240" w:lineRule="auto"/>
        <w:ind w:left="0"/>
        <w:jc w:val="both"/>
        <w:rPr>
          <w:rFonts w:ascii="Times New Roman" w:hAnsi="Times New Roman" w:cs="Times New Roman"/>
          <w:sz w:val="28"/>
          <w:szCs w:val="28"/>
          <w:lang w:val="uk-UA"/>
        </w:rPr>
      </w:pPr>
      <w:r w:rsidRPr="002C2EEC">
        <w:rPr>
          <w:sz w:val="28"/>
          <w:szCs w:val="28"/>
          <w:lang w:val="uk-UA"/>
        </w:rPr>
        <w:tab/>
      </w:r>
      <w:r w:rsidR="002C2EEC" w:rsidRPr="009C5286">
        <w:rPr>
          <w:rFonts w:ascii="Times New Roman" w:hAnsi="Times New Roman" w:cs="Times New Roman"/>
          <w:sz w:val="28"/>
          <w:szCs w:val="28"/>
          <w:lang w:val="uk-UA"/>
        </w:rPr>
        <w:t>Управлінням</w:t>
      </w:r>
      <w:r w:rsidR="002C2EEC" w:rsidRPr="002C2EEC">
        <w:rPr>
          <w:rFonts w:ascii="Times New Roman" w:hAnsi="Times New Roman" w:cs="Times New Roman"/>
          <w:sz w:val="28"/>
          <w:szCs w:val="28"/>
          <w:lang w:val="uk-UA"/>
        </w:rPr>
        <w:t xml:space="preserve"> </w:t>
      </w:r>
      <w:r w:rsidR="002C2EEC" w:rsidRPr="009C5286">
        <w:rPr>
          <w:rFonts w:ascii="Times New Roman" w:hAnsi="Times New Roman" w:cs="Times New Roman"/>
          <w:sz w:val="28"/>
          <w:szCs w:val="28"/>
          <w:lang w:val="uk-UA"/>
        </w:rPr>
        <w:t>з питань надзвичайних ситуацій, мобілізаційно-оборонної роботи та діяльності правоохоронних органів міської ради</w:t>
      </w:r>
      <w:r w:rsidR="002C2EEC" w:rsidRPr="009C5286">
        <w:rPr>
          <w:lang w:val="uk-UA"/>
        </w:rPr>
        <w:t xml:space="preserve"> </w:t>
      </w:r>
      <w:r w:rsidR="002C2EEC" w:rsidRPr="009C5286">
        <w:rPr>
          <w:rFonts w:ascii="Times New Roman" w:hAnsi="Times New Roman" w:cs="Times New Roman"/>
          <w:sz w:val="28"/>
          <w:szCs w:val="28"/>
          <w:lang w:val="uk-UA"/>
        </w:rPr>
        <w:t xml:space="preserve"> в </w:t>
      </w:r>
      <w:r w:rsidR="002C2EEC">
        <w:rPr>
          <w:rFonts w:ascii="Times New Roman" w:hAnsi="Times New Roman" w:cs="Times New Roman"/>
          <w:sz w:val="28"/>
          <w:szCs w:val="28"/>
          <w:lang w:val="uk-UA"/>
        </w:rPr>
        <w:t>2019</w:t>
      </w:r>
      <w:r w:rsidR="002C2EEC" w:rsidRPr="009C5286">
        <w:rPr>
          <w:rFonts w:ascii="Times New Roman" w:hAnsi="Times New Roman" w:cs="Times New Roman"/>
          <w:sz w:val="28"/>
          <w:szCs w:val="28"/>
          <w:lang w:val="uk-UA"/>
        </w:rPr>
        <w:t xml:space="preserve"> році надавалася практична допомога сільським радам щодо усунення наслідків надзвичайних ситуацій. Так, з метою попередження можливого виникнення надзвичайних ситуацій природного характеру (прориву дамби на р.Бистриця Надвірнянська в районі с.Угорники) </w:t>
      </w:r>
      <w:r w:rsidR="002C2EEC">
        <w:rPr>
          <w:rFonts w:ascii="Times New Roman" w:hAnsi="Times New Roman" w:cs="Times New Roman"/>
          <w:sz w:val="28"/>
          <w:szCs w:val="28"/>
          <w:lang w:val="uk-UA"/>
        </w:rPr>
        <w:t>у</w:t>
      </w:r>
      <w:r w:rsidR="002C2EEC" w:rsidRPr="009C5286">
        <w:rPr>
          <w:rFonts w:ascii="Times New Roman" w:hAnsi="Times New Roman" w:cs="Times New Roman"/>
          <w:sz w:val="28"/>
          <w:szCs w:val="28"/>
          <w:lang w:val="uk-UA"/>
        </w:rPr>
        <w:t xml:space="preserve"> травн</w:t>
      </w:r>
      <w:r w:rsidR="002C2EEC">
        <w:rPr>
          <w:rFonts w:ascii="Times New Roman" w:hAnsi="Times New Roman" w:cs="Times New Roman"/>
          <w:sz w:val="28"/>
          <w:szCs w:val="28"/>
          <w:lang w:val="uk-UA"/>
        </w:rPr>
        <w:t>і</w:t>
      </w:r>
      <w:r w:rsidR="002C2EEC" w:rsidRPr="009C5286">
        <w:rPr>
          <w:rFonts w:ascii="Times New Roman" w:hAnsi="Times New Roman" w:cs="Times New Roman"/>
          <w:sz w:val="28"/>
          <w:szCs w:val="28"/>
          <w:lang w:val="uk-UA"/>
        </w:rPr>
        <w:t xml:space="preserve"> 2019 року організовано роботи з укріплення аварійної ділянки дамби. Для цього завезено 128 тонн негабаритного каменю та 33,81 тонни піску. До роботи було залучено 20 військовослужбовців Національної гвардії України, працівників КУ </w:t>
      </w:r>
      <w:r w:rsidR="002C2EEC">
        <w:rPr>
          <w:rFonts w:ascii="Times New Roman" w:hAnsi="Times New Roman" w:cs="Times New Roman"/>
          <w:sz w:val="28"/>
          <w:szCs w:val="28"/>
          <w:lang w:val="uk-UA"/>
        </w:rPr>
        <w:t>"</w:t>
      </w:r>
      <w:r w:rsidR="002C2EEC" w:rsidRPr="009C5286">
        <w:rPr>
          <w:rFonts w:ascii="Times New Roman" w:hAnsi="Times New Roman" w:cs="Times New Roman"/>
          <w:sz w:val="28"/>
          <w:szCs w:val="28"/>
          <w:lang w:val="uk-UA"/>
        </w:rPr>
        <w:t>ІФ МАРС</w:t>
      </w:r>
      <w:r w:rsidR="002C2EEC">
        <w:rPr>
          <w:rFonts w:ascii="Times New Roman" w:hAnsi="Times New Roman" w:cs="Times New Roman"/>
          <w:sz w:val="28"/>
          <w:szCs w:val="28"/>
          <w:lang w:val="uk-UA"/>
        </w:rPr>
        <w:t>"</w:t>
      </w:r>
      <w:r w:rsidR="002C2EEC" w:rsidRPr="009C5286">
        <w:rPr>
          <w:rFonts w:ascii="Times New Roman" w:hAnsi="Times New Roman" w:cs="Times New Roman"/>
          <w:sz w:val="28"/>
          <w:szCs w:val="28"/>
          <w:lang w:val="uk-UA"/>
        </w:rPr>
        <w:t xml:space="preserve">, техніку. Також 12-13 червня 2019 року забезпечено укріплення </w:t>
      </w:r>
      <w:r w:rsidR="002C2EEC" w:rsidRPr="009C5286">
        <w:rPr>
          <w:rFonts w:ascii="Times New Roman" w:hAnsi="Times New Roman" w:cs="Times New Roman"/>
          <w:sz w:val="28"/>
          <w:szCs w:val="28"/>
          <w:lang w:val="uk-UA"/>
        </w:rPr>
        <w:lastRenderedPageBreak/>
        <w:t>берегової лінії річки Бистриця Надвірнянська в районі вул.Медична, що в м.Івано-Франківську, для чого завезено 260 тонн негабаритного каменю</w:t>
      </w:r>
      <w:r w:rsidR="002C2EEC">
        <w:rPr>
          <w:rFonts w:ascii="Times New Roman" w:hAnsi="Times New Roman" w:cs="Times New Roman"/>
          <w:sz w:val="28"/>
          <w:szCs w:val="28"/>
          <w:lang w:val="uk-UA"/>
        </w:rPr>
        <w:t>.</w:t>
      </w:r>
    </w:p>
    <w:p w:rsidR="002C2EEC" w:rsidRDefault="002C2EEC" w:rsidP="002C2EEC">
      <w:pPr>
        <w:pStyle w:val="15"/>
        <w:spacing w:after="0" w:line="240" w:lineRule="auto"/>
        <w:ind w:left="0" w:firstLine="708"/>
        <w:jc w:val="both"/>
        <w:rPr>
          <w:rFonts w:ascii="Times New Roman" w:hAnsi="Times New Roman" w:cs="Times New Roman"/>
          <w:sz w:val="28"/>
          <w:szCs w:val="28"/>
          <w:lang w:val="uk-UA"/>
        </w:rPr>
      </w:pPr>
      <w:r w:rsidRPr="009C5286">
        <w:rPr>
          <w:rFonts w:ascii="Times New Roman" w:hAnsi="Times New Roman" w:cs="Times New Roman"/>
          <w:sz w:val="28"/>
          <w:szCs w:val="28"/>
          <w:lang w:val="uk-UA"/>
        </w:rPr>
        <w:t>З метою запобігання можливого виникнення надзвичайної ситуації та за дорученням міського голови в період з 16 по 22 жовтня 2019 року для укріплення аварійної ділянки водозахисної дамби р.Бистриця Надвірнянська завезено ще 512 тонн негабаритного каменю.</w:t>
      </w:r>
    </w:p>
    <w:p w:rsidR="007B5FC8" w:rsidRPr="002C2EEC" w:rsidRDefault="002C2EEC" w:rsidP="002C2EEC">
      <w:pPr>
        <w:pStyle w:val="15"/>
        <w:spacing w:after="0" w:line="240" w:lineRule="auto"/>
        <w:ind w:left="0" w:firstLine="708"/>
        <w:jc w:val="both"/>
        <w:rPr>
          <w:rFonts w:ascii="Times New Roman" w:hAnsi="Times New Roman" w:cs="Times New Roman"/>
          <w:sz w:val="28"/>
          <w:szCs w:val="28"/>
          <w:highlight w:val="yellow"/>
          <w:lang w:val="uk-UA"/>
        </w:rPr>
      </w:pPr>
      <w:r w:rsidRPr="009C5286">
        <w:rPr>
          <w:rFonts w:ascii="Times New Roman" w:hAnsi="Times New Roman" w:cs="Times New Roman"/>
          <w:sz w:val="28"/>
          <w:szCs w:val="28"/>
          <w:lang w:val="uk-UA"/>
        </w:rPr>
        <w:t>Забезпечено виконання вимог розпоряджень міс</w:t>
      </w:r>
      <w:r w:rsidR="00055EED">
        <w:rPr>
          <w:rFonts w:ascii="Times New Roman" w:hAnsi="Times New Roman" w:cs="Times New Roman"/>
          <w:sz w:val="28"/>
          <w:szCs w:val="28"/>
          <w:lang w:val="uk-UA"/>
        </w:rPr>
        <w:t>ького голови від 13.03.2019р. №</w:t>
      </w:r>
      <w:r w:rsidRPr="009C5286">
        <w:rPr>
          <w:rFonts w:ascii="Times New Roman" w:hAnsi="Times New Roman" w:cs="Times New Roman"/>
          <w:sz w:val="28"/>
          <w:szCs w:val="28"/>
          <w:lang w:val="uk-UA"/>
        </w:rPr>
        <w:t xml:space="preserve">82-р та від 30.08.2019р. № 333-р </w:t>
      </w:r>
      <w:r w:rsidR="009B13F9">
        <w:rPr>
          <w:rFonts w:ascii="Times New Roman" w:hAnsi="Times New Roman" w:cs="Times New Roman"/>
          <w:sz w:val="28"/>
          <w:szCs w:val="28"/>
          <w:lang w:val="uk-UA"/>
        </w:rPr>
        <w:t>"</w:t>
      </w:r>
      <w:r w:rsidRPr="009C5286">
        <w:rPr>
          <w:rFonts w:ascii="Times New Roman" w:hAnsi="Times New Roman" w:cs="Times New Roman"/>
          <w:sz w:val="28"/>
          <w:szCs w:val="28"/>
          <w:lang w:val="uk-UA"/>
        </w:rPr>
        <w:t>Про створення мобільної групи із профілактики і запобігання спалювання сухої рослинності та побутових відходів на території міської ради</w:t>
      </w:r>
      <w:r w:rsidR="009B13F9">
        <w:rPr>
          <w:rFonts w:ascii="Times New Roman" w:hAnsi="Times New Roman" w:cs="Times New Roman"/>
          <w:sz w:val="28"/>
          <w:szCs w:val="28"/>
          <w:lang w:val="uk-UA"/>
        </w:rPr>
        <w:t>"</w:t>
      </w:r>
      <w:r w:rsidRPr="009C5286">
        <w:rPr>
          <w:rFonts w:ascii="Times New Roman" w:hAnsi="Times New Roman" w:cs="Times New Roman"/>
          <w:sz w:val="28"/>
          <w:szCs w:val="28"/>
          <w:lang w:val="uk-UA"/>
        </w:rPr>
        <w:t xml:space="preserve">. Мобільна група здійснювала виїзди </w:t>
      </w:r>
      <w:r>
        <w:rPr>
          <w:rFonts w:ascii="Times New Roman" w:hAnsi="Times New Roman" w:cs="Times New Roman"/>
          <w:sz w:val="28"/>
          <w:szCs w:val="28"/>
          <w:lang w:val="uk-UA"/>
        </w:rPr>
        <w:t>та</w:t>
      </w:r>
      <w:r w:rsidRPr="009C5286">
        <w:rPr>
          <w:rFonts w:ascii="Times New Roman" w:hAnsi="Times New Roman" w:cs="Times New Roman"/>
          <w:sz w:val="28"/>
          <w:szCs w:val="28"/>
          <w:lang w:val="uk-UA"/>
        </w:rPr>
        <w:t xml:space="preserve"> проводила профілактичн</w:t>
      </w:r>
      <w:r>
        <w:rPr>
          <w:rFonts w:ascii="Times New Roman" w:hAnsi="Times New Roman" w:cs="Times New Roman"/>
          <w:sz w:val="28"/>
          <w:szCs w:val="28"/>
          <w:lang w:val="uk-UA"/>
        </w:rPr>
        <w:t>у</w:t>
      </w:r>
      <w:r w:rsidRPr="009C5286">
        <w:rPr>
          <w:rFonts w:ascii="Times New Roman" w:hAnsi="Times New Roman" w:cs="Times New Roman"/>
          <w:sz w:val="28"/>
          <w:szCs w:val="28"/>
          <w:lang w:val="uk-UA"/>
        </w:rPr>
        <w:t xml:space="preserve"> робота із </w:t>
      </w:r>
      <w:r>
        <w:rPr>
          <w:rFonts w:ascii="Times New Roman" w:hAnsi="Times New Roman" w:cs="Times New Roman"/>
          <w:sz w:val="28"/>
          <w:szCs w:val="28"/>
          <w:lang w:val="uk-UA"/>
        </w:rPr>
        <w:t>особами, що здійснювали</w:t>
      </w:r>
      <w:r w:rsidRPr="009C5286">
        <w:rPr>
          <w:rFonts w:ascii="Times New Roman" w:hAnsi="Times New Roman" w:cs="Times New Roman"/>
          <w:sz w:val="28"/>
          <w:szCs w:val="28"/>
          <w:lang w:val="uk-UA"/>
        </w:rPr>
        <w:t xml:space="preserve"> </w:t>
      </w:r>
      <w:r>
        <w:rPr>
          <w:rFonts w:ascii="Times New Roman" w:hAnsi="Times New Roman" w:cs="Times New Roman"/>
          <w:sz w:val="28"/>
          <w:szCs w:val="28"/>
          <w:lang w:val="uk-UA"/>
        </w:rPr>
        <w:t>підпал</w:t>
      </w:r>
      <w:r w:rsidRPr="009C5286">
        <w:rPr>
          <w:rFonts w:ascii="Times New Roman" w:hAnsi="Times New Roman" w:cs="Times New Roman"/>
          <w:sz w:val="28"/>
          <w:szCs w:val="28"/>
          <w:lang w:val="uk-UA"/>
        </w:rPr>
        <w:t xml:space="preserve"> трави, побутових відходів, тощо. </w:t>
      </w:r>
      <w:r w:rsidRPr="002C2EEC">
        <w:rPr>
          <w:rFonts w:ascii="Times New Roman" w:hAnsi="Times New Roman" w:cs="Times New Roman"/>
          <w:sz w:val="28"/>
          <w:szCs w:val="28"/>
        </w:rPr>
        <w:t xml:space="preserve">За період роботи мобільною групою складено 12 протоколів, </w:t>
      </w:r>
      <w:r>
        <w:rPr>
          <w:rFonts w:ascii="Times New Roman" w:hAnsi="Times New Roman" w:cs="Times New Roman"/>
          <w:sz w:val="28"/>
          <w:szCs w:val="28"/>
          <w:lang w:val="uk-UA"/>
        </w:rPr>
        <w:t>проведено бесіди з</w:t>
      </w:r>
      <w:r w:rsidRPr="002C2EEC">
        <w:rPr>
          <w:rFonts w:ascii="Times New Roman" w:hAnsi="Times New Roman" w:cs="Times New Roman"/>
          <w:sz w:val="28"/>
          <w:szCs w:val="28"/>
        </w:rPr>
        <w:t xml:space="preserve"> 44 громадян</w:t>
      </w:r>
      <w:r>
        <w:rPr>
          <w:rFonts w:ascii="Times New Roman" w:hAnsi="Times New Roman" w:cs="Times New Roman"/>
          <w:sz w:val="28"/>
          <w:szCs w:val="28"/>
          <w:lang w:val="uk-UA"/>
        </w:rPr>
        <w:t>ами</w:t>
      </w:r>
      <w:r w:rsidRPr="002C2EEC">
        <w:rPr>
          <w:rFonts w:ascii="Times New Roman" w:hAnsi="Times New Roman" w:cs="Times New Roman"/>
          <w:sz w:val="28"/>
          <w:szCs w:val="28"/>
        </w:rPr>
        <w:t>, роз</w:t>
      </w:r>
      <w:r w:rsidR="00CA631E">
        <w:rPr>
          <w:rFonts w:ascii="Times New Roman" w:hAnsi="Times New Roman" w:cs="Times New Roman"/>
          <w:sz w:val="28"/>
          <w:szCs w:val="28"/>
          <w:lang w:val="uk-UA"/>
        </w:rPr>
        <w:t>повсюджено</w:t>
      </w:r>
      <w:r w:rsidRPr="002C2EEC">
        <w:rPr>
          <w:rFonts w:ascii="Times New Roman" w:hAnsi="Times New Roman" w:cs="Times New Roman"/>
          <w:sz w:val="28"/>
          <w:szCs w:val="28"/>
        </w:rPr>
        <w:t xml:space="preserve"> листівки із попередженням про заборону спалювання сухостою.</w:t>
      </w:r>
    </w:p>
    <w:p w:rsidR="002C2EEC" w:rsidRDefault="002C2EEC" w:rsidP="007B5FC8">
      <w:pPr>
        <w:pStyle w:val="15"/>
        <w:spacing w:after="0" w:line="240" w:lineRule="auto"/>
        <w:ind w:left="0"/>
        <w:jc w:val="both"/>
        <w:rPr>
          <w:rFonts w:ascii="Times New Roman" w:hAnsi="Times New Roman" w:cs="Times New Roman"/>
          <w:sz w:val="28"/>
          <w:szCs w:val="28"/>
          <w:highlight w:val="yellow"/>
          <w:lang w:val="uk-UA"/>
        </w:rPr>
      </w:pPr>
    </w:p>
    <w:p w:rsidR="007B5FC8" w:rsidRPr="00CA631E" w:rsidRDefault="007B5FC8" w:rsidP="007B5FC8">
      <w:pPr>
        <w:pStyle w:val="15"/>
        <w:spacing w:after="0" w:line="240" w:lineRule="auto"/>
        <w:ind w:left="0"/>
        <w:jc w:val="both"/>
        <w:rPr>
          <w:lang w:val="uk-UA"/>
        </w:rPr>
      </w:pPr>
      <w:r w:rsidRPr="00CA631E">
        <w:rPr>
          <w:rFonts w:ascii="Times New Roman" w:hAnsi="Times New Roman" w:cs="Times New Roman"/>
          <w:sz w:val="28"/>
          <w:szCs w:val="28"/>
          <w:lang w:val="uk-UA"/>
        </w:rPr>
        <w:tab/>
      </w:r>
    </w:p>
    <w:p w:rsidR="007B5FC8" w:rsidRPr="00CA631E" w:rsidRDefault="007B5FC8" w:rsidP="007B5FC8">
      <w:pPr>
        <w:rPr>
          <w:lang w:val="uk-UA"/>
        </w:rPr>
      </w:pPr>
      <w:r w:rsidRPr="00CA631E">
        <w:rPr>
          <w:lang w:val="uk-UA"/>
        </w:rPr>
        <w:t>Начальник управління економічного</w:t>
      </w:r>
    </w:p>
    <w:p w:rsidR="007B5FC8" w:rsidRPr="00CA631E" w:rsidRDefault="007B5FC8" w:rsidP="007B5FC8">
      <w:pPr>
        <w:rPr>
          <w:lang w:val="uk-UA"/>
        </w:rPr>
      </w:pPr>
      <w:r w:rsidRPr="00CA631E">
        <w:rPr>
          <w:lang w:val="uk-UA"/>
        </w:rPr>
        <w:t xml:space="preserve">та інтеграційного розвитку  </w:t>
      </w:r>
      <w:r w:rsidRPr="00CA631E">
        <w:rPr>
          <w:lang w:val="uk-UA"/>
        </w:rPr>
        <w:tab/>
      </w:r>
      <w:r w:rsidRPr="00CA631E">
        <w:rPr>
          <w:lang w:val="uk-UA"/>
        </w:rPr>
        <w:tab/>
      </w:r>
      <w:r w:rsidRPr="00CA631E">
        <w:rPr>
          <w:lang w:val="uk-UA"/>
        </w:rPr>
        <w:tab/>
      </w:r>
      <w:r w:rsidRPr="00CA631E">
        <w:rPr>
          <w:lang w:val="uk-UA"/>
        </w:rPr>
        <w:tab/>
      </w:r>
      <w:r w:rsidRPr="00CA631E">
        <w:rPr>
          <w:lang w:val="uk-UA"/>
        </w:rPr>
        <w:tab/>
        <w:t>Надія Кромкач</w:t>
      </w:r>
    </w:p>
    <w:p w:rsidR="007B5FC8" w:rsidRPr="007B5FC8" w:rsidRDefault="007B5FC8" w:rsidP="007B5FC8">
      <w:pPr>
        <w:rPr>
          <w:highlight w:val="yellow"/>
          <w:lang w:val="uk-UA"/>
        </w:rPr>
      </w:pPr>
    </w:p>
    <w:p w:rsidR="007B5FC8" w:rsidRPr="007B5FC8" w:rsidRDefault="007B5FC8" w:rsidP="007B5FC8">
      <w:pPr>
        <w:ind w:left="5670"/>
        <w:rPr>
          <w:rFonts w:cs="Times New Roman"/>
          <w:highlight w:val="yellow"/>
        </w:rPr>
        <w:sectPr w:rsidR="007B5FC8" w:rsidRPr="007B5FC8" w:rsidSect="001912E5">
          <w:headerReference w:type="default" r:id="rId18"/>
          <w:headerReference w:type="first" r:id="rId19"/>
          <w:pgSz w:w="11906" w:h="16838"/>
          <w:pgMar w:top="1418" w:right="567" w:bottom="567" w:left="1985" w:header="567" w:footer="397" w:gutter="0"/>
          <w:pgNumType w:start="1"/>
          <w:cols w:space="708"/>
          <w:titlePg/>
          <w:docGrid w:linePitch="381"/>
        </w:sectPr>
      </w:pPr>
    </w:p>
    <w:p w:rsidR="007B5FC8" w:rsidRPr="005C5B32" w:rsidRDefault="007B5FC8" w:rsidP="007B5FC8">
      <w:pPr>
        <w:ind w:left="11340"/>
        <w:rPr>
          <w:rFonts w:cs="Times New Roman"/>
        </w:rPr>
      </w:pPr>
      <w:r w:rsidRPr="005C5B32">
        <w:rPr>
          <w:rFonts w:cs="Times New Roman"/>
        </w:rPr>
        <w:lastRenderedPageBreak/>
        <w:t>Додаток 1</w:t>
      </w:r>
    </w:p>
    <w:p w:rsidR="007B5FC8" w:rsidRPr="005C5B32" w:rsidRDefault="007B5FC8" w:rsidP="007B5FC8">
      <w:pPr>
        <w:ind w:left="11340"/>
        <w:rPr>
          <w:rFonts w:cs="Times New Roman"/>
        </w:rPr>
      </w:pPr>
      <w:r w:rsidRPr="005C5B32">
        <w:rPr>
          <w:rFonts w:cs="Times New Roman"/>
        </w:rPr>
        <w:t>до Інформації про виконання Програми економічного і соціального розвитку м.Івано-Франківська за 201</w:t>
      </w:r>
      <w:r w:rsidR="005C5B32">
        <w:rPr>
          <w:rFonts w:cs="Times New Roman"/>
          <w:lang w:val="uk-UA"/>
        </w:rPr>
        <w:t>9</w:t>
      </w:r>
      <w:r w:rsidRPr="005C5B32">
        <w:rPr>
          <w:rFonts w:cs="Times New Roman"/>
        </w:rPr>
        <w:t xml:space="preserve"> рік</w:t>
      </w:r>
    </w:p>
    <w:p w:rsidR="007B5FC8" w:rsidRPr="005C5B32" w:rsidRDefault="007B5FC8" w:rsidP="007B5FC8">
      <w:r w:rsidRPr="005C5B32">
        <w:tab/>
      </w:r>
      <w:r w:rsidRPr="005C5B32">
        <w:tab/>
      </w:r>
      <w:r w:rsidRPr="005C5B32">
        <w:tab/>
      </w:r>
      <w:r w:rsidRPr="005C5B32">
        <w:tab/>
      </w:r>
      <w:r w:rsidRPr="005C5B32">
        <w:tab/>
      </w:r>
      <w:r w:rsidRPr="005C5B32">
        <w:tab/>
      </w:r>
      <w:r w:rsidRPr="005C5B32">
        <w:tab/>
      </w:r>
      <w:r w:rsidRPr="005C5B32">
        <w:tab/>
      </w:r>
      <w:r w:rsidRPr="005C5B32">
        <w:tab/>
      </w:r>
    </w:p>
    <w:p w:rsidR="007B5FC8" w:rsidRPr="007B5FC8" w:rsidRDefault="007B5FC8" w:rsidP="007B5FC8">
      <w:pPr>
        <w:rPr>
          <w:highlight w:val="yellow"/>
        </w:rPr>
      </w:pPr>
    </w:p>
    <w:p w:rsidR="007B5FC8" w:rsidRPr="005C5B32" w:rsidRDefault="007B5FC8" w:rsidP="007B5FC8">
      <w:pPr>
        <w:jc w:val="center"/>
        <w:rPr>
          <w:rFonts w:eastAsia="Times New Roman" w:cs="Times New Roman"/>
          <w:b/>
          <w:bCs/>
          <w:color w:val="000000"/>
          <w:sz w:val="24"/>
          <w:szCs w:val="24"/>
          <w:lang w:eastAsia="uk-UA"/>
        </w:rPr>
      </w:pPr>
      <w:r w:rsidRPr="005C5B32">
        <w:rPr>
          <w:rFonts w:eastAsia="Times New Roman" w:cs="Times New Roman"/>
          <w:b/>
          <w:bCs/>
          <w:color w:val="000000"/>
          <w:sz w:val="24"/>
          <w:szCs w:val="24"/>
          <w:lang w:eastAsia="uk-UA"/>
        </w:rPr>
        <w:t xml:space="preserve">ОСНОВНІ ПОКАЗНИКИ </w:t>
      </w:r>
      <w:proofErr w:type="gramStart"/>
      <w:r w:rsidRPr="005C5B32">
        <w:rPr>
          <w:rFonts w:eastAsia="Times New Roman" w:cs="Times New Roman"/>
          <w:b/>
          <w:bCs/>
          <w:color w:val="000000"/>
          <w:sz w:val="24"/>
          <w:szCs w:val="24"/>
          <w:lang w:eastAsia="uk-UA"/>
        </w:rPr>
        <w:t>ЕКОНОМІЧНОГО  І</w:t>
      </w:r>
      <w:proofErr w:type="gramEnd"/>
      <w:r w:rsidRPr="005C5B32">
        <w:rPr>
          <w:rFonts w:eastAsia="Times New Roman" w:cs="Times New Roman"/>
          <w:b/>
          <w:bCs/>
          <w:color w:val="000000"/>
          <w:sz w:val="24"/>
          <w:szCs w:val="24"/>
          <w:lang w:eastAsia="uk-UA"/>
        </w:rPr>
        <w:t xml:space="preserve"> СОЦІАЛЬНОГО РОЗВИТКУ</w:t>
      </w:r>
    </w:p>
    <w:p w:rsidR="007B5FC8" w:rsidRPr="005C5B32" w:rsidRDefault="007B5FC8" w:rsidP="007B5FC8">
      <w:pPr>
        <w:jc w:val="center"/>
        <w:rPr>
          <w:rFonts w:cs="Times New Roman"/>
        </w:rPr>
      </w:pPr>
      <w:r w:rsidRPr="005C5B32">
        <w:rPr>
          <w:rFonts w:cs="Times New Roman"/>
        </w:rPr>
        <w:t>міста Івано-Франківська за 201</w:t>
      </w:r>
      <w:r w:rsidR="005C5B32">
        <w:rPr>
          <w:rFonts w:cs="Times New Roman"/>
          <w:lang w:val="uk-UA"/>
        </w:rPr>
        <w:t>9</w:t>
      </w:r>
      <w:r w:rsidRPr="005C5B32">
        <w:rPr>
          <w:rFonts w:cs="Times New Roman"/>
        </w:rPr>
        <w:t xml:space="preserve"> рік</w:t>
      </w:r>
    </w:p>
    <w:p w:rsidR="007B5FC8" w:rsidRPr="005C5B32" w:rsidRDefault="007B5FC8" w:rsidP="007B5FC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9"/>
        <w:gridCol w:w="1134"/>
        <w:gridCol w:w="1559"/>
        <w:gridCol w:w="1418"/>
        <w:gridCol w:w="1842"/>
        <w:gridCol w:w="1560"/>
        <w:gridCol w:w="1884"/>
      </w:tblGrid>
      <w:tr w:rsidR="007B5FC8" w:rsidRPr="005C5B32" w:rsidTr="00B07213">
        <w:trPr>
          <w:trHeight w:val="928"/>
          <w:tblHeader/>
          <w:jc w:val="center"/>
        </w:trPr>
        <w:tc>
          <w:tcPr>
            <w:tcW w:w="4609" w:type="dxa"/>
            <w:hideMark/>
          </w:tcPr>
          <w:p w:rsidR="007B5FC8" w:rsidRPr="005C5B32" w:rsidRDefault="007B5FC8" w:rsidP="007B5FC8">
            <w:pPr>
              <w:jc w:val="center"/>
              <w:rPr>
                <w:rFonts w:cs="Times New Roman"/>
                <w:sz w:val="22"/>
                <w:szCs w:val="22"/>
              </w:rPr>
            </w:pPr>
            <w:r w:rsidRPr="005C5B32">
              <w:rPr>
                <w:rFonts w:cs="Times New Roman"/>
                <w:sz w:val="22"/>
                <w:szCs w:val="22"/>
              </w:rPr>
              <w:t>Показники</w:t>
            </w:r>
          </w:p>
        </w:tc>
        <w:tc>
          <w:tcPr>
            <w:tcW w:w="1134" w:type="dxa"/>
            <w:hideMark/>
          </w:tcPr>
          <w:p w:rsidR="007B5FC8" w:rsidRPr="005C5B32" w:rsidRDefault="007B5FC8" w:rsidP="007B5FC8">
            <w:pPr>
              <w:jc w:val="center"/>
              <w:rPr>
                <w:rFonts w:cs="Times New Roman"/>
                <w:sz w:val="22"/>
                <w:szCs w:val="22"/>
              </w:rPr>
            </w:pPr>
            <w:r w:rsidRPr="005C5B32">
              <w:rPr>
                <w:rFonts w:cs="Times New Roman"/>
                <w:sz w:val="22"/>
                <w:szCs w:val="22"/>
              </w:rPr>
              <w:t>Одиниця виміру</w:t>
            </w:r>
          </w:p>
        </w:tc>
        <w:tc>
          <w:tcPr>
            <w:tcW w:w="1559" w:type="dxa"/>
            <w:hideMark/>
          </w:tcPr>
          <w:p w:rsidR="007B5FC8" w:rsidRPr="005C5B32" w:rsidRDefault="007B5FC8" w:rsidP="005C5B32">
            <w:pPr>
              <w:jc w:val="center"/>
              <w:rPr>
                <w:rFonts w:cs="Times New Roman"/>
                <w:sz w:val="22"/>
                <w:szCs w:val="22"/>
              </w:rPr>
            </w:pPr>
            <w:r w:rsidRPr="005C5B32">
              <w:rPr>
                <w:rFonts w:cs="Times New Roman"/>
                <w:sz w:val="22"/>
                <w:szCs w:val="22"/>
              </w:rPr>
              <w:t>201</w:t>
            </w:r>
            <w:r w:rsidR="005C5B32">
              <w:rPr>
                <w:rFonts w:cs="Times New Roman"/>
                <w:sz w:val="22"/>
                <w:szCs w:val="22"/>
                <w:lang w:val="uk-UA"/>
              </w:rPr>
              <w:t>7</w:t>
            </w:r>
            <w:r w:rsidRPr="005C5B32">
              <w:rPr>
                <w:rFonts w:cs="Times New Roman"/>
                <w:sz w:val="22"/>
                <w:szCs w:val="22"/>
              </w:rPr>
              <w:t xml:space="preserve"> рік</w:t>
            </w:r>
          </w:p>
        </w:tc>
        <w:tc>
          <w:tcPr>
            <w:tcW w:w="1418" w:type="dxa"/>
            <w:hideMark/>
          </w:tcPr>
          <w:p w:rsidR="007B5FC8" w:rsidRPr="005C5B32" w:rsidRDefault="007B5FC8" w:rsidP="005C5B32">
            <w:pPr>
              <w:jc w:val="center"/>
              <w:rPr>
                <w:rFonts w:cs="Times New Roman"/>
                <w:sz w:val="22"/>
                <w:szCs w:val="22"/>
              </w:rPr>
            </w:pPr>
            <w:r w:rsidRPr="005C5B32">
              <w:rPr>
                <w:rFonts w:cs="Times New Roman"/>
                <w:sz w:val="22"/>
                <w:szCs w:val="22"/>
              </w:rPr>
              <w:t>201</w:t>
            </w:r>
            <w:r w:rsidR="005C5B32">
              <w:rPr>
                <w:rFonts w:cs="Times New Roman"/>
                <w:sz w:val="22"/>
                <w:szCs w:val="22"/>
                <w:lang w:val="uk-UA"/>
              </w:rPr>
              <w:t>8</w:t>
            </w:r>
            <w:r w:rsidRPr="005C5B32">
              <w:rPr>
                <w:rFonts w:cs="Times New Roman"/>
                <w:sz w:val="22"/>
                <w:szCs w:val="22"/>
              </w:rPr>
              <w:t xml:space="preserve"> рік</w:t>
            </w:r>
          </w:p>
        </w:tc>
        <w:tc>
          <w:tcPr>
            <w:tcW w:w="1842" w:type="dxa"/>
            <w:hideMark/>
          </w:tcPr>
          <w:p w:rsidR="007B5FC8" w:rsidRPr="005C5B32" w:rsidRDefault="007B5FC8" w:rsidP="005C5B32">
            <w:pPr>
              <w:jc w:val="center"/>
              <w:rPr>
                <w:rFonts w:cs="Times New Roman"/>
                <w:sz w:val="22"/>
                <w:szCs w:val="22"/>
              </w:rPr>
            </w:pPr>
            <w:r w:rsidRPr="005C5B32">
              <w:rPr>
                <w:rFonts w:cs="Times New Roman"/>
                <w:sz w:val="22"/>
                <w:szCs w:val="22"/>
              </w:rPr>
              <w:t>201</w:t>
            </w:r>
            <w:r w:rsidR="005C5B32">
              <w:rPr>
                <w:rFonts w:cs="Times New Roman"/>
                <w:sz w:val="22"/>
                <w:szCs w:val="22"/>
                <w:lang w:val="uk-UA"/>
              </w:rPr>
              <w:t>9</w:t>
            </w:r>
            <w:r w:rsidRPr="005C5B32">
              <w:rPr>
                <w:rFonts w:cs="Times New Roman"/>
                <w:sz w:val="22"/>
                <w:szCs w:val="22"/>
              </w:rPr>
              <w:t xml:space="preserve"> рік прогноз згідно з Програмою</w:t>
            </w:r>
          </w:p>
        </w:tc>
        <w:tc>
          <w:tcPr>
            <w:tcW w:w="1560" w:type="dxa"/>
            <w:hideMark/>
          </w:tcPr>
          <w:p w:rsidR="007B5FC8" w:rsidRPr="005C5B32" w:rsidRDefault="007B5FC8" w:rsidP="007B5FC8">
            <w:pPr>
              <w:jc w:val="center"/>
              <w:rPr>
                <w:rFonts w:cs="Times New Roman"/>
                <w:sz w:val="22"/>
                <w:szCs w:val="22"/>
                <w:lang w:val="uk-UA"/>
              </w:rPr>
            </w:pPr>
            <w:r w:rsidRPr="005C5B32">
              <w:rPr>
                <w:rFonts w:cs="Times New Roman"/>
                <w:sz w:val="22"/>
                <w:szCs w:val="22"/>
              </w:rPr>
              <w:t>201</w:t>
            </w:r>
            <w:r w:rsidR="005C5B32">
              <w:rPr>
                <w:rFonts w:cs="Times New Roman"/>
                <w:sz w:val="22"/>
                <w:szCs w:val="22"/>
                <w:lang w:val="uk-UA"/>
              </w:rPr>
              <w:t>9</w:t>
            </w:r>
            <w:r w:rsidRPr="005C5B32">
              <w:rPr>
                <w:rFonts w:cs="Times New Roman"/>
                <w:sz w:val="22"/>
                <w:szCs w:val="22"/>
              </w:rPr>
              <w:t xml:space="preserve"> рік</w:t>
            </w:r>
          </w:p>
          <w:p w:rsidR="007B5FC8" w:rsidRPr="005C5B32" w:rsidRDefault="007B5FC8" w:rsidP="007B5FC8">
            <w:pPr>
              <w:jc w:val="center"/>
              <w:rPr>
                <w:rFonts w:cs="Times New Roman"/>
                <w:sz w:val="22"/>
                <w:szCs w:val="22"/>
              </w:rPr>
            </w:pPr>
            <w:r w:rsidRPr="005C5B32">
              <w:rPr>
                <w:rFonts w:cs="Times New Roman"/>
                <w:sz w:val="22"/>
                <w:szCs w:val="22"/>
                <w:lang w:val="uk-UA"/>
              </w:rPr>
              <w:t>факт</w:t>
            </w:r>
            <w:r w:rsidRPr="005C5B32">
              <w:rPr>
                <w:rFonts w:cs="Times New Roman"/>
                <w:sz w:val="22"/>
                <w:szCs w:val="22"/>
              </w:rPr>
              <w:t xml:space="preserve"> </w:t>
            </w:r>
          </w:p>
        </w:tc>
        <w:tc>
          <w:tcPr>
            <w:tcW w:w="1884" w:type="dxa"/>
            <w:hideMark/>
          </w:tcPr>
          <w:p w:rsidR="007B5FC8" w:rsidRPr="005C5B32" w:rsidRDefault="007B5FC8" w:rsidP="00EC573E">
            <w:pPr>
              <w:jc w:val="center"/>
              <w:rPr>
                <w:rFonts w:cs="Times New Roman"/>
                <w:sz w:val="22"/>
                <w:szCs w:val="22"/>
                <w:lang w:val="uk-UA"/>
              </w:rPr>
            </w:pPr>
            <w:r w:rsidRPr="005C5B32">
              <w:rPr>
                <w:rFonts w:cs="Times New Roman"/>
                <w:sz w:val="22"/>
                <w:szCs w:val="22"/>
              </w:rPr>
              <w:t xml:space="preserve">% виконання </w:t>
            </w:r>
            <w:r w:rsidRPr="005C5B32">
              <w:rPr>
                <w:rFonts w:cs="Times New Roman"/>
                <w:sz w:val="22"/>
                <w:szCs w:val="22"/>
                <w:lang w:val="uk-UA"/>
              </w:rPr>
              <w:t>(201</w:t>
            </w:r>
            <w:r w:rsidR="005C5B32">
              <w:rPr>
                <w:rFonts w:cs="Times New Roman"/>
                <w:sz w:val="22"/>
                <w:szCs w:val="22"/>
                <w:lang w:val="uk-UA"/>
              </w:rPr>
              <w:t>9</w:t>
            </w:r>
            <w:r w:rsidRPr="005C5B32">
              <w:rPr>
                <w:rFonts w:cs="Times New Roman"/>
                <w:sz w:val="22"/>
                <w:szCs w:val="22"/>
                <w:lang w:val="uk-UA"/>
              </w:rPr>
              <w:t>р. факт / 201</w:t>
            </w:r>
            <w:r w:rsidR="00EC573E">
              <w:rPr>
                <w:rFonts w:cs="Times New Roman"/>
                <w:sz w:val="22"/>
                <w:szCs w:val="22"/>
                <w:lang w:val="uk-UA"/>
              </w:rPr>
              <w:t>8</w:t>
            </w:r>
            <w:r w:rsidRPr="005C5B32">
              <w:rPr>
                <w:rFonts w:cs="Times New Roman"/>
                <w:sz w:val="22"/>
                <w:szCs w:val="22"/>
                <w:lang w:val="uk-UA"/>
              </w:rPr>
              <w:t xml:space="preserve">р. </w:t>
            </w:r>
            <w:r w:rsidR="00EC573E">
              <w:rPr>
                <w:rFonts w:cs="Times New Roman"/>
                <w:sz w:val="22"/>
                <w:szCs w:val="22"/>
                <w:lang w:val="uk-UA"/>
              </w:rPr>
              <w:t>факт</w:t>
            </w:r>
            <w:r w:rsidRPr="005C5B32">
              <w:rPr>
                <w:rFonts w:cs="Times New Roman"/>
                <w:sz w:val="22"/>
                <w:szCs w:val="22"/>
                <w:lang w:val="uk-UA"/>
              </w:rPr>
              <w:t>)</w:t>
            </w:r>
          </w:p>
        </w:tc>
      </w:tr>
      <w:tr w:rsidR="007B5FC8" w:rsidRPr="007B5FC8" w:rsidTr="00B07213">
        <w:trPr>
          <w:trHeight w:val="332"/>
          <w:jc w:val="center"/>
        </w:trPr>
        <w:tc>
          <w:tcPr>
            <w:tcW w:w="14006" w:type="dxa"/>
            <w:gridSpan w:val="7"/>
            <w:vAlign w:val="center"/>
            <w:hideMark/>
          </w:tcPr>
          <w:p w:rsidR="007B5FC8" w:rsidRPr="005C5B32" w:rsidRDefault="007B5FC8" w:rsidP="007B5FC8">
            <w:pPr>
              <w:jc w:val="center"/>
              <w:rPr>
                <w:rFonts w:cs="Times New Roman"/>
                <w:sz w:val="22"/>
                <w:szCs w:val="22"/>
                <w:u w:val="single"/>
                <w:lang w:val="uk-UA"/>
              </w:rPr>
            </w:pPr>
            <w:r w:rsidRPr="005C5B32">
              <w:rPr>
                <w:rFonts w:cs="Times New Roman"/>
                <w:sz w:val="22"/>
                <w:szCs w:val="22"/>
                <w:u w:val="single"/>
              </w:rPr>
              <w:t>ПРОМИСЛОВІСТЬ</w:t>
            </w:r>
          </w:p>
        </w:tc>
      </w:tr>
      <w:tr w:rsidR="005C5B32" w:rsidRPr="007B5FC8" w:rsidTr="005C5B32">
        <w:trPr>
          <w:trHeight w:val="551"/>
          <w:jc w:val="center"/>
        </w:trPr>
        <w:tc>
          <w:tcPr>
            <w:tcW w:w="4609" w:type="dxa"/>
            <w:hideMark/>
          </w:tcPr>
          <w:p w:rsidR="005C5B32" w:rsidRPr="005C5B32" w:rsidRDefault="005C5B32" w:rsidP="007B5FC8">
            <w:pPr>
              <w:jc w:val="both"/>
              <w:rPr>
                <w:rFonts w:cs="Times New Roman"/>
                <w:sz w:val="22"/>
                <w:szCs w:val="22"/>
              </w:rPr>
            </w:pPr>
            <w:r w:rsidRPr="005C5B32">
              <w:rPr>
                <w:rFonts w:cs="Times New Roman"/>
                <w:sz w:val="22"/>
                <w:szCs w:val="22"/>
              </w:rPr>
              <w:t xml:space="preserve">Обсяг реалізованої промислової </w:t>
            </w:r>
            <w:proofErr w:type="gramStart"/>
            <w:r w:rsidRPr="005C5B32">
              <w:rPr>
                <w:rFonts w:cs="Times New Roman"/>
                <w:sz w:val="22"/>
                <w:szCs w:val="22"/>
              </w:rPr>
              <w:t>продукції  (</w:t>
            </w:r>
            <w:proofErr w:type="gramEnd"/>
            <w:r w:rsidRPr="005C5B32">
              <w:rPr>
                <w:rFonts w:cs="Times New Roman"/>
                <w:sz w:val="22"/>
                <w:szCs w:val="22"/>
              </w:rPr>
              <w:t>товарів, послуг), всього</w:t>
            </w:r>
          </w:p>
        </w:tc>
        <w:tc>
          <w:tcPr>
            <w:tcW w:w="1134" w:type="dxa"/>
            <w:vAlign w:val="center"/>
            <w:hideMark/>
          </w:tcPr>
          <w:p w:rsidR="005C5B32" w:rsidRPr="005C5B32" w:rsidRDefault="005C5B32" w:rsidP="007B5FC8">
            <w:pPr>
              <w:jc w:val="center"/>
              <w:rPr>
                <w:rFonts w:cs="Times New Roman"/>
                <w:sz w:val="22"/>
                <w:szCs w:val="22"/>
              </w:rPr>
            </w:pPr>
            <w:r w:rsidRPr="005C5B32">
              <w:rPr>
                <w:rFonts w:cs="Times New Roman"/>
                <w:sz w:val="22"/>
                <w:szCs w:val="22"/>
              </w:rPr>
              <w:t>тис. грн.</w:t>
            </w:r>
          </w:p>
        </w:tc>
        <w:tc>
          <w:tcPr>
            <w:tcW w:w="1559" w:type="dxa"/>
            <w:noWrap/>
            <w:vAlign w:val="center"/>
            <w:hideMark/>
          </w:tcPr>
          <w:p w:rsidR="005C5B32" w:rsidRPr="005C5B32" w:rsidRDefault="005C5B32" w:rsidP="007B5FC8">
            <w:pPr>
              <w:jc w:val="center"/>
              <w:rPr>
                <w:rFonts w:cs="Times New Roman"/>
                <w:sz w:val="22"/>
                <w:szCs w:val="22"/>
              </w:rPr>
            </w:pPr>
            <w:r w:rsidRPr="005C5B32">
              <w:rPr>
                <w:rFonts w:cs="Times New Roman"/>
                <w:sz w:val="22"/>
                <w:szCs w:val="22"/>
              </w:rPr>
              <w:t>10 914 278,1</w:t>
            </w:r>
          </w:p>
        </w:tc>
        <w:tc>
          <w:tcPr>
            <w:tcW w:w="1418" w:type="dxa"/>
            <w:vAlign w:val="center"/>
            <w:hideMark/>
          </w:tcPr>
          <w:p w:rsidR="005C5B32" w:rsidRPr="002925D0" w:rsidRDefault="005C5B32" w:rsidP="006F5925">
            <w:pPr>
              <w:jc w:val="center"/>
              <w:rPr>
                <w:rFonts w:cs="Times New Roman"/>
                <w:sz w:val="22"/>
                <w:szCs w:val="22"/>
                <w:lang w:val="uk-UA"/>
              </w:rPr>
            </w:pPr>
            <w:r w:rsidRPr="005C5B32">
              <w:rPr>
                <w:rFonts w:cs="Times New Roman"/>
                <w:sz w:val="22"/>
                <w:szCs w:val="22"/>
              </w:rPr>
              <w:t xml:space="preserve">13 </w:t>
            </w:r>
            <w:r w:rsidR="002925D0">
              <w:rPr>
                <w:rFonts w:cs="Times New Roman"/>
                <w:sz w:val="22"/>
                <w:szCs w:val="22"/>
                <w:lang w:val="uk-UA"/>
              </w:rPr>
              <w:t>668</w:t>
            </w:r>
            <w:r w:rsidR="006F5925">
              <w:rPr>
                <w:rFonts w:cs="Times New Roman"/>
                <w:sz w:val="22"/>
                <w:szCs w:val="22"/>
                <w:lang w:val="uk-UA"/>
              </w:rPr>
              <w:t xml:space="preserve"> </w:t>
            </w:r>
            <w:r w:rsidR="002925D0">
              <w:rPr>
                <w:rFonts w:cs="Times New Roman"/>
                <w:sz w:val="22"/>
                <w:szCs w:val="22"/>
                <w:lang w:val="uk-UA"/>
              </w:rPr>
              <w:t>8</w:t>
            </w:r>
            <w:r w:rsidR="006F5925">
              <w:rPr>
                <w:rFonts w:cs="Times New Roman"/>
                <w:sz w:val="22"/>
                <w:szCs w:val="22"/>
                <w:lang w:val="uk-UA"/>
              </w:rPr>
              <w:t>31,3</w:t>
            </w:r>
          </w:p>
        </w:tc>
        <w:tc>
          <w:tcPr>
            <w:tcW w:w="1842" w:type="dxa"/>
            <w:vAlign w:val="center"/>
            <w:hideMark/>
          </w:tcPr>
          <w:p w:rsidR="005C5B32" w:rsidRPr="005C5B32" w:rsidRDefault="005C5B32" w:rsidP="0080506C">
            <w:pPr>
              <w:jc w:val="center"/>
              <w:rPr>
                <w:sz w:val="22"/>
                <w:szCs w:val="22"/>
              </w:rPr>
            </w:pPr>
            <w:r w:rsidRPr="005C5B32">
              <w:rPr>
                <w:sz w:val="22"/>
                <w:szCs w:val="22"/>
              </w:rPr>
              <w:t>14 089 346</w:t>
            </w:r>
          </w:p>
        </w:tc>
        <w:tc>
          <w:tcPr>
            <w:tcW w:w="1560" w:type="dxa"/>
            <w:vAlign w:val="center"/>
            <w:hideMark/>
          </w:tcPr>
          <w:p w:rsidR="005C5B32" w:rsidRPr="00AD0B09" w:rsidRDefault="00AD0B09" w:rsidP="007B5FC8">
            <w:pPr>
              <w:jc w:val="center"/>
              <w:rPr>
                <w:rFonts w:cs="Times New Roman"/>
                <w:sz w:val="22"/>
                <w:szCs w:val="22"/>
                <w:lang w:val="uk-UA"/>
              </w:rPr>
            </w:pPr>
            <w:r>
              <w:rPr>
                <w:rFonts w:cs="Times New Roman"/>
                <w:sz w:val="22"/>
                <w:szCs w:val="22"/>
                <w:lang w:val="uk-UA"/>
              </w:rPr>
              <w:t>11 768 735,9</w:t>
            </w:r>
          </w:p>
        </w:tc>
        <w:tc>
          <w:tcPr>
            <w:tcW w:w="1884" w:type="dxa"/>
            <w:vAlign w:val="center"/>
          </w:tcPr>
          <w:p w:rsidR="005C5B32" w:rsidRPr="00AD0B09" w:rsidRDefault="00AD0B09" w:rsidP="00EC573E">
            <w:pPr>
              <w:jc w:val="center"/>
              <w:rPr>
                <w:rFonts w:cs="Times New Roman"/>
                <w:sz w:val="22"/>
                <w:szCs w:val="22"/>
                <w:lang w:val="uk-UA"/>
              </w:rPr>
            </w:pPr>
            <w:r>
              <w:rPr>
                <w:rFonts w:cs="Times New Roman"/>
                <w:sz w:val="22"/>
                <w:szCs w:val="22"/>
                <w:lang w:val="uk-UA"/>
              </w:rPr>
              <w:t>8</w:t>
            </w:r>
            <w:r w:rsidR="00EC573E">
              <w:rPr>
                <w:rFonts w:cs="Times New Roman"/>
                <w:sz w:val="22"/>
                <w:szCs w:val="22"/>
                <w:lang w:val="uk-UA"/>
              </w:rPr>
              <w:t>6</w:t>
            </w:r>
            <w:r>
              <w:rPr>
                <w:rFonts w:cs="Times New Roman"/>
                <w:sz w:val="22"/>
                <w:szCs w:val="22"/>
                <w:lang w:val="uk-UA"/>
              </w:rPr>
              <w:t>%</w:t>
            </w:r>
          </w:p>
        </w:tc>
      </w:tr>
      <w:tr w:rsidR="005C5B32" w:rsidRPr="006F5925" w:rsidTr="005C5B32">
        <w:trPr>
          <w:trHeight w:val="558"/>
          <w:jc w:val="center"/>
        </w:trPr>
        <w:tc>
          <w:tcPr>
            <w:tcW w:w="4609" w:type="dxa"/>
            <w:hideMark/>
          </w:tcPr>
          <w:p w:rsidR="005C5B32" w:rsidRPr="006F5925" w:rsidRDefault="005C5B32" w:rsidP="007B5FC8">
            <w:pPr>
              <w:jc w:val="both"/>
              <w:rPr>
                <w:rFonts w:cs="Times New Roman"/>
                <w:sz w:val="22"/>
                <w:szCs w:val="22"/>
              </w:rPr>
            </w:pPr>
            <w:r w:rsidRPr="006F5925">
              <w:rPr>
                <w:rFonts w:cs="Times New Roman"/>
                <w:sz w:val="22"/>
                <w:szCs w:val="22"/>
              </w:rPr>
              <w:t>Обсяг реалізованої промислової продукції (товарів, послуг) у розрахунку на одну особу</w:t>
            </w:r>
          </w:p>
        </w:tc>
        <w:tc>
          <w:tcPr>
            <w:tcW w:w="1134" w:type="dxa"/>
            <w:vAlign w:val="center"/>
            <w:hideMark/>
          </w:tcPr>
          <w:p w:rsidR="005C5B32" w:rsidRPr="006F5925" w:rsidRDefault="005C5B32" w:rsidP="007B5FC8">
            <w:pPr>
              <w:jc w:val="center"/>
              <w:rPr>
                <w:rFonts w:cs="Times New Roman"/>
                <w:sz w:val="22"/>
                <w:szCs w:val="22"/>
              </w:rPr>
            </w:pPr>
            <w:r w:rsidRPr="006F5925">
              <w:rPr>
                <w:rFonts w:cs="Times New Roman"/>
                <w:sz w:val="22"/>
                <w:szCs w:val="22"/>
              </w:rPr>
              <w:t>грн.</w:t>
            </w:r>
          </w:p>
        </w:tc>
        <w:tc>
          <w:tcPr>
            <w:tcW w:w="1559" w:type="dxa"/>
            <w:vAlign w:val="center"/>
          </w:tcPr>
          <w:p w:rsidR="005C5B32" w:rsidRPr="006F5925" w:rsidRDefault="005C5B32" w:rsidP="0080506C">
            <w:pPr>
              <w:jc w:val="center"/>
              <w:rPr>
                <w:rFonts w:cs="Times New Roman"/>
                <w:sz w:val="22"/>
                <w:szCs w:val="22"/>
              </w:rPr>
            </w:pPr>
            <w:r w:rsidRPr="006F5925">
              <w:rPr>
                <w:rFonts w:cs="Times New Roman"/>
                <w:sz w:val="22"/>
                <w:szCs w:val="22"/>
              </w:rPr>
              <w:t>42 632,4</w:t>
            </w:r>
          </w:p>
        </w:tc>
        <w:tc>
          <w:tcPr>
            <w:tcW w:w="1418" w:type="dxa"/>
            <w:vAlign w:val="center"/>
          </w:tcPr>
          <w:p w:rsidR="005C5B32" w:rsidRPr="006F5925" w:rsidRDefault="006F5925" w:rsidP="007B5FC8">
            <w:pPr>
              <w:jc w:val="center"/>
              <w:rPr>
                <w:rFonts w:cs="Times New Roman"/>
                <w:sz w:val="22"/>
                <w:szCs w:val="22"/>
                <w:lang w:val="uk-UA"/>
              </w:rPr>
            </w:pPr>
            <w:r w:rsidRPr="006F5925">
              <w:rPr>
                <w:rFonts w:cs="Times New Roman"/>
                <w:sz w:val="22"/>
                <w:szCs w:val="22"/>
                <w:lang w:val="uk-UA"/>
              </w:rPr>
              <w:t>52 767,1</w:t>
            </w:r>
          </w:p>
        </w:tc>
        <w:tc>
          <w:tcPr>
            <w:tcW w:w="1842" w:type="dxa"/>
            <w:vAlign w:val="center"/>
          </w:tcPr>
          <w:p w:rsidR="005C5B32" w:rsidRPr="006F5925" w:rsidRDefault="005C5B32" w:rsidP="0080506C">
            <w:pPr>
              <w:jc w:val="center"/>
              <w:rPr>
                <w:sz w:val="22"/>
                <w:szCs w:val="22"/>
              </w:rPr>
            </w:pPr>
            <w:r w:rsidRPr="006F5925">
              <w:rPr>
                <w:sz w:val="22"/>
                <w:szCs w:val="22"/>
              </w:rPr>
              <w:t>53 776,1</w:t>
            </w:r>
          </w:p>
        </w:tc>
        <w:tc>
          <w:tcPr>
            <w:tcW w:w="1560" w:type="dxa"/>
            <w:vAlign w:val="center"/>
          </w:tcPr>
          <w:p w:rsidR="005C5B32" w:rsidRPr="001F2E4C" w:rsidRDefault="001F2E4C" w:rsidP="007B5FC8">
            <w:pPr>
              <w:jc w:val="center"/>
              <w:rPr>
                <w:rFonts w:cs="Times New Roman"/>
                <w:sz w:val="22"/>
                <w:szCs w:val="22"/>
                <w:lang w:val="uk-UA"/>
              </w:rPr>
            </w:pPr>
            <w:r>
              <w:rPr>
                <w:rFonts w:cs="Times New Roman"/>
                <w:sz w:val="22"/>
                <w:szCs w:val="22"/>
                <w:lang w:val="uk-UA"/>
              </w:rPr>
              <w:t>45 431,9</w:t>
            </w:r>
          </w:p>
        </w:tc>
        <w:tc>
          <w:tcPr>
            <w:tcW w:w="1884" w:type="dxa"/>
            <w:vAlign w:val="center"/>
          </w:tcPr>
          <w:p w:rsidR="005C5B32" w:rsidRPr="001F2E4C" w:rsidRDefault="00EC573E" w:rsidP="007B5FC8">
            <w:pPr>
              <w:jc w:val="center"/>
              <w:rPr>
                <w:rFonts w:cs="Times New Roman"/>
                <w:sz w:val="22"/>
                <w:szCs w:val="22"/>
                <w:lang w:val="uk-UA"/>
              </w:rPr>
            </w:pPr>
            <w:r>
              <w:rPr>
                <w:rFonts w:cs="Times New Roman"/>
                <w:sz w:val="22"/>
                <w:szCs w:val="22"/>
                <w:lang w:val="uk-UA"/>
              </w:rPr>
              <w:t>86</w:t>
            </w:r>
            <w:r w:rsidR="001F2E4C">
              <w:rPr>
                <w:rFonts w:cs="Times New Roman"/>
                <w:sz w:val="22"/>
                <w:szCs w:val="22"/>
                <w:lang w:val="uk-UA"/>
              </w:rPr>
              <w:t>%</w:t>
            </w:r>
          </w:p>
        </w:tc>
      </w:tr>
      <w:tr w:rsidR="005C5B32" w:rsidRPr="007B5FC8" w:rsidTr="005C5B32">
        <w:trPr>
          <w:trHeight w:val="712"/>
          <w:jc w:val="center"/>
        </w:trPr>
        <w:tc>
          <w:tcPr>
            <w:tcW w:w="4609" w:type="dxa"/>
            <w:hideMark/>
          </w:tcPr>
          <w:p w:rsidR="005C5B32" w:rsidRPr="006F5925" w:rsidRDefault="005C5B32" w:rsidP="007B5FC8">
            <w:pPr>
              <w:jc w:val="both"/>
              <w:rPr>
                <w:rFonts w:cs="Times New Roman"/>
                <w:sz w:val="22"/>
                <w:szCs w:val="22"/>
              </w:rPr>
            </w:pPr>
            <w:r w:rsidRPr="006F5925">
              <w:rPr>
                <w:rFonts w:cs="Times New Roman"/>
                <w:sz w:val="22"/>
                <w:szCs w:val="22"/>
              </w:rPr>
              <w:t>Темп зростання (зменшення) обсягу реалізованої промислової продукції, відсотків до відповідного періоду минулого року</w:t>
            </w:r>
          </w:p>
        </w:tc>
        <w:tc>
          <w:tcPr>
            <w:tcW w:w="1134" w:type="dxa"/>
            <w:vAlign w:val="center"/>
            <w:hideMark/>
          </w:tcPr>
          <w:p w:rsidR="005C5B32" w:rsidRPr="006F5925" w:rsidRDefault="005C5B32" w:rsidP="007B5FC8">
            <w:pPr>
              <w:jc w:val="center"/>
              <w:rPr>
                <w:rFonts w:cs="Times New Roman"/>
                <w:sz w:val="22"/>
                <w:szCs w:val="22"/>
              </w:rPr>
            </w:pPr>
            <w:r w:rsidRPr="006F5925">
              <w:rPr>
                <w:rFonts w:cs="Times New Roman"/>
                <w:sz w:val="22"/>
                <w:szCs w:val="22"/>
              </w:rPr>
              <w:t>%</w:t>
            </w:r>
          </w:p>
        </w:tc>
        <w:tc>
          <w:tcPr>
            <w:tcW w:w="1559" w:type="dxa"/>
            <w:vAlign w:val="center"/>
          </w:tcPr>
          <w:p w:rsidR="005C5B32" w:rsidRPr="006F5925" w:rsidRDefault="005C5B32" w:rsidP="0080506C">
            <w:pPr>
              <w:jc w:val="center"/>
              <w:rPr>
                <w:rFonts w:cs="Times New Roman"/>
                <w:sz w:val="22"/>
                <w:szCs w:val="22"/>
              </w:rPr>
            </w:pPr>
            <w:r w:rsidRPr="006F5925">
              <w:rPr>
                <w:rFonts w:cs="Times New Roman"/>
                <w:sz w:val="22"/>
                <w:szCs w:val="22"/>
              </w:rPr>
              <w:t>105,3</w:t>
            </w:r>
          </w:p>
        </w:tc>
        <w:tc>
          <w:tcPr>
            <w:tcW w:w="1418" w:type="dxa"/>
            <w:vAlign w:val="center"/>
          </w:tcPr>
          <w:p w:rsidR="005C5B32" w:rsidRPr="006F5925" w:rsidRDefault="006F5925" w:rsidP="007B5FC8">
            <w:pPr>
              <w:jc w:val="center"/>
              <w:rPr>
                <w:rFonts w:cs="Times New Roman"/>
                <w:sz w:val="22"/>
                <w:szCs w:val="22"/>
                <w:lang w:val="uk-UA"/>
              </w:rPr>
            </w:pPr>
            <w:r w:rsidRPr="006F5925">
              <w:rPr>
                <w:rFonts w:cs="Times New Roman"/>
                <w:sz w:val="22"/>
                <w:szCs w:val="22"/>
                <w:lang w:val="uk-UA"/>
              </w:rPr>
              <w:t>125,2</w:t>
            </w:r>
          </w:p>
        </w:tc>
        <w:tc>
          <w:tcPr>
            <w:tcW w:w="1842" w:type="dxa"/>
            <w:vAlign w:val="center"/>
          </w:tcPr>
          <w:p w:rsidR="005C5B32" w:rsidRPr="006F5925" w:rsidRDefault="005C5B32" w:rsidP="0080506C">
            <w:pPr>
              <w:jc w:val="center"/>
              <w:rPr>
                <w:sz w:val="22"/>
                <w:szCs w:val="22"/>
              </w:rPr>
            </w:pPr>
            <w:r w:rsidRPr="006F5925">
              <w:rPr>
                <w:sz w:val="22"/>
                <w:szCs w:val="22"/>
              </w:rPr>
              <w:t>116,0</w:t>
            </w:r>
          </w:p>
        </w:tc>
        <w:tc>
          <w:tcPr>
            <w:tcW w:w="1560" w:type="dxa"/>
            <w:vAlign w:val="center"/>
          </w:tcPr>
          <w:p w:rsidR="005C5B32" w:rsidRPr="001F2E4C" w:rsidRDefault="001F2E4C" w:rsidP="007B5FC8">
            <w:pPr>
              <w:jc w:val="center"/>
              <w:rPr>
                <w:rFonts w:cs="Times New Roman"/>
                <w:sz w:val="22"/>
                <w:szCs w:val="22"/>
                <w:lang w:val="uk-UA"/>
              </w:rPr>
            </w:pPr>
            <w:r>
              <w:rPr>
                <w:rFonts w:cs="Times New Roman"/>
                <w:sz w:val="22"/>
                <w:szCs w:val="22"/>
                <w:lang w:val="uk-UA"/>
              </w:rPr>
              <w:t>117,7</w:t>
            </w:r>
          </w:p>
        </w:tc>
        <w:tc>
          <w:tcPr>
            <w:tcW w:w="1884" w:type="dxa"/>
            <w:vAlign w:val="center"/>
          </w:tcPr>
          <w:p w:rsidR="005C5B32" w:rsidRPr="001F2E4C" w:rsidRDefault="001F2E4C" w:rsidP="007B5FC8">
            <w:pPr>
              <w:jc w:val="center"/>
              <w:rPr>
                <w:rFonts w:cs="Times New Roman"/>
                <w:sz w:val="22"/>
                <w:szCs w:val="22"/>
                <w:lang w:val="uk-UA"/>
              </w:rPr>
            </w:pPr>
            <w:r>
              <w:rPr>
                <w:rFonts w:cs="Times New Roman"/>
                <w:sz w:val="22"/>
                <w:szCs w:val="22"/>
                <w:lang w:val="uk-UA"/>
              </w:rPr>
              <w:t>х</w:t>
            </w:r>
          </w:p>
        </w:tc>
      </w:tr>
      <w:tr w:rsidR="005C5B32" w:rsidRPr="007B5FC8" w:rsidTr="00B07213">
        <w:trPr>
          <w:trHeight w:val="486"/>
          <w:jc w:val="center"/>
        </w:trPr>
        <w:tc>
          <w:tcPr>
            <w:tcW w:w="14006" w:type="dxa"/>
            <w:gridSpan w:val="7"/>
            <w:vAlign w:val="center"/>
            <w:hideMark/>
          </w:tcPr>
          <w:p w:rsidR="005C5B32" w:rsidRPr="006E3361" w:rsidRDefault="005C5B32" w:rsidP="007B5FC8">
            <w:pPr>
              <w:jc w:val="center"/>
              <w:rPr>
                <w:rFonts w:cs="Times New Roman"/>
                <w:sz w:val="22"/>
                <w:szCs w:val="22"/>
              </w:rPr>
            </w:pPr>
            <w:proofErr w:type="gramStart"/>
            <w:r w:rsidRPr="006E3361">
              <w:rPr>
                <w:rFonts w:cs="Times New Roman"/>
                <w:sz w:val="22"/>
                <w:szCs w:val="22"/>
                <w:u w:val="single"/>
              </w:rPr>
              <w:t>ФІНАНСОВІ  ПОКАЗНИКИ</w:t>
            </w:r>
            <w:proofErr w:type="gramEnd"/>
          </w:p>
        </w:tc>
      </w:tr>
      <w:tr w:rsidR="00CE46FF" w:rsidRPr="007B5FC8" w:rsidTr="00CE46FF">
        <w:trPr>
          <w:trHeight w:val="550"/>
          <w:jc w:val="center"/>
        </w:trPr>
        <w:tc>
          <w:tcPr>
            <w:tcW w:w="4609" w:type="dxa"/>
            <w:hideMark/>
          </w:tcPr>
          <w:p w:rsidR="00CE46FF" w:rsidRPr="006E3361" w:rsidRDefault="00CE46FF" w:rsidP="007B5FC8">
            <w:pPr>
              <w:jc w:val="both"/>
              <w:rPr>
                <w:rFonts w:cs="Times New Roman"/>
                <w:sz w:val="22"/>
                <w:szCs w:val="22"/>
              </w:rPr>
            </w:pPr>
            <w:r w:rsidRPr="006E3361">
              <w:rPr>
                <w:rFonts w:cs="Times New Roman"/>
                <w:sz w:val="22"/>
                <w:szCs w:val="22"/>
              </w:rPr>
              <w:t>Доходи місцевих бюджетів</w:t>
            </w:r>
            <w:proofErr w:type="gramStart"/>
            <w:r w:rsidRPr="006E3361">
              <w:rPr>
                <w:rFonts w:cs="Times New Roman"/>
                <w:sz w:val="22"/>
                <w:szCs w:val="22"/>
              </w:rPr>
              <w:t xml:space="preserve">   (</w:t>
            </w:r>
            <w:proofErr w:type="gramEnd"/>
            <w:r w:rsidRPr="006E3361">
              <w:rPr>
                <w:rFonts w:cs="Times New Roman"/>
                <w:sz w:val="22"/>
                <w:szCs w:val="22"/>
              </w:rPr>
              <w:t xml:space="preserve">без трансфертів з держбюджету) </w:t>
            </w:r>
          </w:p>
        </w:tc>
        <w:tc>
          <w:tcPr>
            <w:tcW w:w="1134" w:type="dxa"/>
            <w:vAlign w:val="center"/>
            <w:hideMark/>
          </w:tcPr>
          <w:p w:rsidR="00CE46FF" w:rsidRPr="006E3361" w:rsidRDefault="00CE46FF" w:rsidP="007B5FC8">
            <w:pPr>
              <w:jc w:val="center"/>
              <w:rPr>
                <w:rFonts w:cs="Times New Roman"/>
                <w:sz w:val="22"/>
                <w:szCs w:val="22"/>
              </w:rPr>
            </w:pPr>
            <w:r w:rsidRPr="006E3361">
              <w:rPr>
                <w:rFonts w:cs="Times New Roman"/>
                <w:sz w:val="22"/>
                <w:szCs w:val="22"/>
              </w:rPr>
              <w:t>тис. грн.</w:t>
            </w:r>
          </w:p>
        </w:tc>
        <w:tc>
          <w:tcPr>
            <w:tcW w:w="1559" w:type="dxa"/>
            <w:vAlign w:val="center"/>
          </w:tcPr>
          <w:p w:rsidR="00CE46FF" w:rsidRPr="006E3361" w:rsidRDefault="00CE46FF" w:rsidP="00D404F4">
            <w:pPr>
              <w:jc w:val="center"/>
              <w:rPr>
                <w:rFonts w:cs="Times New Roman"/>
                <w:sz w:val="22"/>
                <w:szCs w:val="22"/>
              </w:rPr>
            </w:pPr>
            <w:r w:rsidRPr="006E3361">
              <w:rPr>
                <w:rFonts w:cs="Times New Roman"/>
                <w:sz w:val="22"/>
                <w:szCs w:val="22"/>
              </w:rPr>
              <w:t>1 367 781,5</w:t>
            </w:r>
          </w:p>
        </w:tc>
        <w:tc>
          <w:tcPr>
            <w:tcW w:w="1418" w:type="dxa"/>
            <w:vAlign w:val="center"/>
          </w:tcPr>
          <w:p w:rsidR="00CE46FF" w:rsidRPr="006E3361" w:rsidRDefault="00CE46FF" w:rsidP="007B5FC8">
            <w:pPr>
              <w:jc w:val="center"/>
              <w:rPr>
                <w:rFonts w:cs="Times New Roman"/>
                <w:sz w:val="22"/>
                <w:szCs w:val="22"/>
                <w:lang w:val="uk-UA"/>
              </w:rPr>
            </w:pPr>
            <w:r w:rsidRPr="006E3361">
              <w:rPr>
                <w:rFonts w:cs="Times New Roman"/>
                <w:sz w:val="22"/>
                <w:szCs w:val="22"/>
                <w:lang w:val="uk-UA"/>
              </w:rPr>
              <w:t xml:space="preserve">1 633 005,4 </w:t>
            </w:r>
          </w:p>
        </w:tc>
        <w:tc>
          <w:tcPr>
            <w:tcW w:w="1842" w:type="dxa"/>
            <w:vAlign w:val="center"/>
            <w:hideMark/>
          </w:tcPr>
          <w:p w:rsidR="00CE46FF" w:rsidRPr="006E3361" w:rsidRDefault="00CE46FF" w:rsidP="00D404F4">
            <w:pPr>
              <w:jc w:val="center"/>
              <w:rPr>
                <w:sz w:val="22"/>
                <w:szCs w:val="22"/>
              </w:rPr>
            </w:pPr>
            <w:r w:rsidRPr="006E3361">
              <w:rPr>
                <w:sz w:val="22"/>
                <w:szCs w:val="22"/>
              </w:rPr>
              <w:t>1 845 000,0</w:t>
            </w:r>
          </w:p>
        </w:tc>
        <w:tc>
          <w:tcPr>
            <w:tcW w:w="1560" w:type="dxa"/>
            <w:vAlign w:val="center"/>
            <w:hideMark/>
          </w:tcPr>
          <w:p w:rsidR="00CE46FF" w:rsidRPr="006E3361" w:rsidRDefault="00CE46FF" w:rsidP="00D404F4">
            <w:pPr>
              <w:jc w:val="center"/>
              <w:rPr>
                <w:sz w:val="22"/>
                <w:szCs w:val="22"/>
              </w:rPr>
            </w:pPr>
            <w:r w:rsidRPr="006E3361">
              <w:rPr>
                <w:sz w:val="22"/>
                <w:szCs w:val="22"/>
              </w:rPr>
              <w:t>1 829 499,2</w:t>
            </w:r>
          </w:p>
        </w:tc>
        <w:tc>
          <w:tcPr>
            <w:tcW w:w="1884" w:type="dxa"/>
            <w:vAlign w:val="center"/>
            <w:hideMark/>
          </w:tcPr>
          <w:p w:rsidR="00CE46FF" w:rsidRPr="006E3361" w:rsidRDefault="006E3361" w:rsidP="007B5FC8">
            <w:pPr>
              <w:jc w:val="center"/>
              <w:rPr>
                <w:rFonts w:cs="Times New Roman"/>
                <w:sz w:val="22"/>
                <w:szCs w:val="22"/>
              </w:rPr>
            </w:pPr>
            <w:r w:rsidRPr="006E3361">
              <w:rPr>
                <w:rFonts w:cs="Times New Roman"/>
                <w:sz w:val="22"/>
                <w:szCs w:val="22"/>
                <w:lang w:val="uk-UA"/>
              </w:rPr>
              <w:t>11</w:t>
            </w:r>
            <w:r w:rsidR="00CE46FF" w:rsidRPr="006E3361">
              <w:rPr>
                <w:rFonts w:cs="Times New Roman"/>
                <w:sz w:val="22"/>
                <w:szCs w:val="22"/>
              </w:rPr>
              <w:t>2%</w:t>
            </w:r>
          </w:p>
        </w:tc>
      </w:tr>
      <w:tr w:rsidR="00CE46FF" w:rsidRPr="007B5FC8" w:rsidTr="00CE46FF">
        <w:trPr>
          <w:trHeight w:val="275"/>
          <w:jc w:val="center"/>
        </w:trPr>
        <w:tc>
          <w:tcPr>
            <w:tcW w:w="4609" w:type="dxa"/>
            <w:hideMark/>
          </w:tcPr>
          <w:p w:rsidR="00CE46FF" w:rsidRPr="006E3361" w:rsidRDefault="00CE46FF" w:rsidP="007B5FC8">
            <w:pPr>
              <w:jc w:val="both"/>
              <w:rPr>
                <w:rFonts w:cs="Times New Roman"/>
                <w:sz w:val="22"/>
                <w:szCs w:val="22"/>
              </w:rPr>
            </w:pPr>
            <w:r w:rsidRPr="006E3361">
              <w:rPr>
                <w:rFonts w:cs="Times New Roman"/>
                <w:sz w:val="22"/>
                <w:szCs w:val="22"/>
              </w:rPr>
              <w:t>в т.ч.</w:t>
            </w:r>
          </w:p>
        </w:tc>
        <w:tc>
          <w:tcPr>
            <w:tcW w:w="1134" w:type="dxa"/>
            <w:vAlign w:val="center"/>
            <w:hideMark/>
          </w:tcPr>
          <w:p w:rsidR="00CE46FF" w:rsidRPr="007B5FC8" w:rsidRDefault="00CE46FF" w:rsidP="007B5FC8">
            <w:pPr>
              <w:jc w:val="center"/>
              <w:rPr>
                <w:rFonts w:cs="Times New Roman"/>
                <w:sz w:val="22"/>
                <w:szCs w:val="22"/>
                <w:highlight w:val="yellow"/>
              </w:rPr>
            </w:pPr>
          </w:p>
        </w:tc>
        <w:tc>
          <w:tcPr>
            <w:tcW w:w="1559" w:type="dxa"/>
            <w:vAlign w:val="center"/>
          </w:tcPr>
          <w:p w:rsidR="00CE46FF" w:rsidRPr="00CE46FF" w:rsidRDefault="00CE46FF" w:rsidP="00D404F4">
            <w:pPr>
              <w:jc w:val="center"/>
              <w:rPr>
                <w:rFonts w:cs="Times New Roman"/>
                <w:sz w:val="22"/>
                <w:szCs w:val="22"/>
              </w:rPr>
            </w:pPr>
          </w:p>
        </w:tc>
        <w:tc>
          <w:tcPr>
            <w:tcW w:w="1418" w:type="dxa"/>
            <w:vAlign w:val="center"/>
          </w:tcPr>
          <w:p w:rsidR="00CE46FF" w:rsidRPr="00CE46FF" w:rsidRDefault="00CE46FF" w:rsidP="007B5FC8">
            <w:pPr>
              <w:jc w:val="center"/>
              <w:rPr>
                <w:rFonts w:cs="Times New Roman"/>
                <w:sz w:val="22"/>
                <w:szCs w:val="22"/>
              </w:rPr>
            </w:pPr>
          </w:p>
        </w:tc>
        <w:tc>
          <w:tcPr>
            <w:tcW w:w="1842" w:type="dxa"/>
            <w:vAlign w:val="center"/>
            <w:hideMark/>
          </w:tcPr>
          <w:p w:rsidR="00CE46FF" w:rsidRPr="00CE46FF" w:rsidRDefault="00CE46FF" w:rsidP="00D404F4">
            <w:pPr>
              <w:jc w:val="center"/>
              <w:rPr>
                <w:sz w:val="22"/>
                <w:szCs w:val="22"/>
              </w:rPr>
            </w:pPr>
          </w:p>
        </w:tc>
        <w:tc>
          <w:tcPr>
            <w:tcW w:w="1560" w:type="dxa"/>
            <w:vAlign w:val="center"/>
            <w:hideMark/>
          </w:tcPr>
          <w:p w:rsidR="00CE46FF" w:rsidRPr="00CE46FF" w:rsidRDefault="00CE46FF" w:rsidP="00D404F4">
            <w:pPr>
              <w:jc w:val="center"/>
              <w:rPr>
                <w:sz w:val="22"/>
                <w:szCs w:val="22"/>
              </w:rPr>
            </w:pPr>
          </w:p>
        </w:tc>
        <w:tc>
          <w:tcPr>
            <w:tcW w:w="1884" w:type="dxa"/>
            <w:vAlign w:val="center"/>
            <w:hideMark/>
          </w:tcPr>
          <w:p w:rsidR="00CE46FF" w:rsidRPr="007B5FC8" w:rsidRDefault="00CE46FF" w:rsidP="007B5FC8">
            <w:pPr>
              <w:jc w:val="center"/>
              <w:rPr>
                <w:rFonts w:cs="Times New Roman"/>
                <w:sz w:val="22"/>
                <w:szCs w:val="22"/>
                <w:highlight w:val="yellow"/>
              </w:rPr>
            </w:pPr>
          </w:p>
        </w:tc>
      </w:tr>
      <w:tr w:rsidR="00CE46FF" w:rsidRPr="007B5FC8" w:rsidTr="00CE46FF">
        <w:trPr>
          <w:trHeight w:val="441"/>
          <w:jc w:val="center"/>
        </w:trPr>
        <w:tc>
          <w:tcPr>
            <w:tcW w:w="4609" w:type="dxa"/>
            <w:hideMark/>
          </w:tcPr>
          <w:p w:rsidR="00CE46FF" w:rsidRPr="00EB7598" w:rsidRDefault="00CE46FF" w:rsidP="007B5FC8">
            <w:pPr>
              <w:jc w:val="both"/>
              <w:rPr>
                <w:rFonts w:cs="Times New Roman"/>
                <w:sz w:val="22"/>
                <w:szCs w:val="22"/>
              </w:rPr>
            </w:pPr>
            <w:r w:rsidRPr="00EB7598">
              <w:rPr>
                <w:rFonts w:cs="Times New Roman"/>
                <w:sz w:val="22"/>
                <w:szCs w:val="22"/>
              </w:rPr>
              <w:t xml:space="preserve"> - доходи загального фонду (без трансфертів)</w:t>
            </w:r>
          </w:p>
        </w:tc>
        <w:tc>
          <w:tcPr>
            <w:tcW w:w="1134" w:type="dxa"/>
            <w:vAlign w:val="center"/>
            <w:hideMark/>
          </w:tcPr>
          <w:p w:rsidR="00CE46FF" w:rsidRPr="00EB7598" w:rsidRDefault="00CE46FF" w:rsidP="007B5FC8">
            <w:pPr>
              <w:jc w:val="center"/>
              <w:rPr>
                <w:rFonts w:cs="Times New Roman"/>
                <w:sz w:val="22"/>
                <w:szCs w:val="22"/>
              </w:rPr>
            </w:pPr>
            <w:r w:rsidRPr="00EB7598">
              <w:rPr>
                <w:rFonts w:cs="Times New Roman"/>
                <w:sz w:val="22"/>
                <w:szCs w:val="22"/>
              </w:rPr>
              <w:t>тис. грн.</w:t>
            </w:r>
          </w:p>
        </w:tc>
        <w:tc>
          <w:tcPr>
            <w:tcW w:w="1559" w:type="dxa"/>
            <w:vAlign w:val="center"/>
          </w:tcPr>
          <w:p w:rsidR="00CE46FF" w:rsidRPr="00EB7598" w:rsidRDefault="00CE46FF" w:rsidP="00D404F4">
            <w:pPr>
              <w:jc w:val="center"/>
              <w:rPr>
                <w:rFonts w:cs="Times New Roman"/>
                <w:sz w:val="22"/>
                <w:szCs w:val="22"/>
              </w:rPr>
            </w:pPr>
            <w:r w:rsidRPr="00EB7598">
              <w:rPr>
                <w:rFonts w:cs="Times New Roman"/>
                <w:sz w:val="22"/>
                <w:szCs w:val="22"/>
              </w:rPr>
              <w:t>1 237 669,5</w:t>
            </w:r>
          </w:p>
        </w:tc>
        <w:tc>
          <w:tcPr>
            <w:tcW w:w="1418" w:type="dxa"/>
            <w:vAlign w:val="center"/>
          </w:tcPr>
          <w:p w:rsidR="00CE46FF" w:rsidRPr="00EB7598" w:rsidRDefault="00CE46FF" w:rsidP="007B5FC8">
            <w:pPr>
              <w:jc w:val="center"/>
              <w:rPr>
                <w:rFonts w:cs="Times New Roman"/>
                <w:sz w:val="22"/>
                <w:szCs w:val="22"/>
                <w:lang w:val="uk-UA"/>
              </w:rPr>
            </w:pPr>
            <w:r w:rsidRPr="00EB7598">
              <w:rPr>
                <w:rFonts w:cs="Times New Roman"/>
                <w:sz w:val="22"/>
                <w:szCs w:val="22"/>
                <w:lang w:val="uk-UA"/>
              </w:rPr>
              <w:t>1</w:t>
            </w:r>
            <w:r w:rsidR="006E3361" w:rsidRPr="00EB7598">
              <w:rPr>
                <w:rFonts w:cs="Times New Roman"/>
                <w:sz w:val="22"/>
                <w:szCs w:val="22"/>
                <w:lang w:val="uk-UA"/>
              </w:rPr>
              <w:t xml:space="preserve"> </w:t>
            </w:r>
            <w:r w:rsidRPr="00EB7598">
              <w:rPr>
                <w:rFonts w:cs="Times New Roman"/>
                <w:sz w:val="22"/>
                <w:szCs w:val="22"/>
                <w:lang w:val="uk-UA"/>
              </w:rPr>
              <w:t>482</w:t>
            </w:r>
            <w:r w:rsidR="006E3361" w:rsidRPr="00EB7598">
              <w:rPr>
                <w:rFonts w:cs="Times New Roman"/>
                <w:sz w:val="22"/>
                <w:szCs w:val="22"/>
                <w:lang w:val="uk-UA"/>
              </w:rPr>
              <w:t xml:space="preserve"> </w:t>
            </w:r>
            <w:r w:rsidRPr="00EB7598">
              <w:rPr>
                <w:rFonts w:cs="Times New Roman"/>
                <w:sz w:val="22"/>
                <w:szCs w:val="22"/>
                <w:lang w:val="uk-UA"/>
              </w:rPr>
              <w:t>121,9</w:t>
            </w:r>
          </w:p>
        </w:tc>
        <w:tc>
          <w:tcPr>
            <w:tcW w:w="1842" w:type="dxa"/>
            <w:vAlign w:val="center"/>
            <w:hideMark/>
          </w:tcPr>
          <w:p w:rsidR="00CE46FF" w:rsidRPr="00EB7598" w:rsidRDefault="00CE46FF" w:rsidP="00D404F4">
            <w:pPr>
              <w:jc w:val="center"/>
              <w:rPr>
                <w:sz w:val="22"/>
                <w:szCs w:val="22"/>
              </w:rPr>
            </w:pPr>
            <w:r w:rsidRPr="00EB7598">
              <w:rPr>
                <w:sz w:val="22"/>
                <w:szCs w:val="22"/>
              </w:rPr>
              <w:t>1 700 000,0</w:t>
            </w:r>
          </w:p>
        </w:tc>
        <w:tc>
          <w:tcPr>
            <w:tcW w:w="1560" w:type="dxa"/>
            <w:vAlign w:val="center"/>
            <w:hideMark/>
          </w:tcPr>
          <w:p w:rsidR="00CE46FF" w:rsidRPr="00EB7598" w:rsidRDefault="00CE46FF" w:rsidP="00D404F4">
            <w:pPr>
              <w:jc w:val="center"/>
              <w:rPr>
                <w:sz w:val="22"/>
                <w:szCs w:val="22"/>
              </w:rPr>
            </w:pPr>
            <w:r w:rsidRPr="00EB7598">
              <w:rPr>
                <w:sz w:val="22"/>
                <w:szCs w:val="22"/>
              </w:rPr>
              <w:t>1 673 078,7</w:t>
            </w:r>
          </w:p>
        </w:tc>
        <w:tc>
          <w:tcPr>
            <w:tcW w:w="1884" w:type="dxa"/>
            <w:vAlign w:val="center"/>
            <w:hideMark/>
          </w:tcPr>
          <w:p w:rsidR="00CE46FF" w:rsidRPr="00EB7598" w:rsidRDefault="00EB7598" w:rsidP="007B5FC8">
            <w:pPr>
              <w:jc w:val="center"/>
              <w:rPr>
                <w:rFonts w:cs="Times New Roman"/>
                <w:sz w:val="22"/>
                <w:szCs w:val="22"/>
              </w:rPr>
            </w:pPr>
            <w:r w:rsidRPr="00EB7598">
              <w:rPr>
                <w:rFonts w:cs="Times New Roman"/>
                <w:sz w:val="22"/>
                <w:szCs w:val="22"/>
                <w:lang w:val="uk-UA"/>
              </w:rPr>
              <w:t>112,9</w:t>
            </w:r>
            <w:r w:rsidR="00CE46FF" w:rsidRPr="00EB7598">
              <w:rPr>
                <w:rFonts w:cs="Times New Roman"/>
                <w:sz w:val="22"/>
                <w:szCs w:val="22"/>
              </w:rPr>
              <w:t>%</w:t>
            </w:r>
          </w:p>
        </w:tc>
      </w:tr>
      <w:tr w:rsidR="00CE46FF" w:rsidRPr="007B5FC8" w:rsidTr="00CE46FF">
        <w:trPr>
          <w:trHeight w:val="388"/>
          <w:jc w:val="center"/>
        </w:trPr>
        <w:tc>
          <w:tcPr>
            <w:tcW w:w="4609" w:type="dxa"/>
            <w:hideMark/>
          </w:tcPr>
          <w:p w:rsidR="00CE46FF" w:rsidRPr="00EB7598" w:rsidRDefault="00CE46FF" w:rsidP="007B5FC8">
            <w:pPr>
              <w:jc w:val="both"/>
              <w:rPr>
                <w:rFonts w:cs="Times New Roman"/>
                <w:sz w:val="22"/>
                <w:szCs w:val="22"/>
              </w:rPr>
            </w:pPr>
            <w:r w:rsidRPr="00EB7598">
              <w:rPr>
                <w:rFonts w:cs="Times New Roman"/>
                <w:sz w:val="22"/>
                <w:szCs w:val="22"/>
              </w:rPr>
              <w:t xml:space="preserve"> - доходи спеціального фонду</w:t>
            </w:r>
          </w:p>
        </w:tc>
        <w:tc>
          <w:tcPr>
            <w:tcW w:w="1134" w:type="dxa"/>
            <w:vAlign w:val="center"/>
            <w:hideMark/>
          </w:tcPr>
          <w:p w:rsidR="00CE46FF" w:rsidRPr="00EB7598" w:rsidRDefault="00CE46FF" w:rsidP="007B5FC8">
            <w:pPr>
              <w:jc w:val="center"/>
              <w:rPr>
                <w:rFonts w:cs="Times New Roman"/>
                <w:sz w:val="22"/>
                <w:szCs w:val="22"/>
              </w:rPr>
            </w:pPr>
            <w:r w:rsidRPr="00EB7598">
              <w:rPr>
                <w:rFonts w:cs="Times New Roman"/>
                <w:sz w:val="22"/>
                <w:szCs w:val="22"/>
              </w:rPr>
              <w:t>тис. грн.</w:t>
            </w:r>
          </w:p>
        </w:tc>
        <w:tc>
          <w:tcPr>
            <w:tcW w:w="1559" w:type="dxa"/>
            <w:vAlign w:val="center"/>
          </w:tcPr>
          <w:p w:rsidR="00CE46FF" w:rsidRPr="00EB7598" w:rsidRDefault="00CE46FF" w:rsidP="00D404F4">
            <w:pPr>
              <w:jc w:val="center"/>
              <w:rPr>
                <w:rFonts w:cs="Times New Roman"/>
                <w:sz w:val="22"/>
                <w:szCs w:val="22"/>
              </w:rPr>
            </w:pPr>
            <w:r w:rsidRPr="00EB7598">
              <w:rPr>
                <w:rFonts w:cs="Times New Roman"/>
                <w:sz w:val="22"/>
                <w:szCs w:val="22"/>
              </w:rPr>
              <w:t>130 112,0</w:t>
            </w:r>
          </w:p>
        </w:tc>
        <w:tc>
          <w:tcPr>
            <w:tcW w:w="1418" w:type="dxa"/>
            <w:vAlign w:val="center"/>
          </w:tcPr>
          <w:p w:rsidR="00CE46FF" w:rsidRPr="00EB7598" w:rsidRDefault="00CE46FF" w:rsidP="007B5FC8">
            <w:pPr>
              <w:jc w:val="center"/>
              <w:rPr>
                <w:rFonts w:cs="Times New Roman"/>
                <w:sz w:val="22"/>
                <w:szCs w:val="22"/>
                <w:lang w:val="uk-UA"/>
              </w:rPr>
            </w:pPr>
            <w:r w:rsidRPr="00EB7598">
              <w:rPr>
                <w:rFonts w:cs="Times New Roman"/>
                <w:sz w:val="22"/>
                <w:szCs w:val="22"/>
                <w:lang w:val="uk-UA"/>
              </w:rPr>
              <w:t>150</w:t>
            </w:r>
            <w:r w:rsidR="006E3361" w:rsidRPr="00EB7598">
              <w:rPr>
                <w:rFonts w:cs="Times New Roman"/>
                <w:sz w:val="22"/>
                <w:szCs w:val="22"/>
                <w:lang w:val="uk-UA"/>
              </w:rPr>
              <w:t xml:space="preserve"> </w:t>
            </w:r>
            <w:r w:rsidRPr="00EB7598">
              <w:rPr>
                <w:rFonts w:cs="Times New Roman"/>
                <w:sz w:val="22"/>
                <w:szCs w:val="22"/>
                <w:lang w:val="uk-UA"/>
              </w:rPr>
              <w:t>883,5</w:t>
            </w:r>
          </w:p>
        </w:tc>
        <w:tc>
          <w:tcPr>
            <w:tcW w:w="1842" w:type="dxa"/>
            <w:vAlign w:val="center"/>
            <w:hideMark/>
          </w:tcPr>
          <w:p w:rsidR="00CE46FF" w:rsidRPr="00EB7598" w:rsidRDefault="00CE46FF" w:rsidP="00D404F4">
            <w:pPr>
              <w:jc w:val="center"/>
              <w:rPr>
                <w:sz w:val="22"/>
                <w:szCs w:val="22"/>
              </w:rPr>
            </w:pPr>
            <w:r w:rsidRPr="00EB7598">
              <w:rPr>
                <w:sz w:val="22"/>
                <w:szCs w:val="22"/>
              </w:rPr>
              <w:t>145 000,0</w:t>
            </w:r>
          </w:p>
        </w:tc>
        <w:tc>
          <w:tcPr>
            <w:tcW w:w="1560" w:type="dxa"/>
            <w:vAlign w:val="center"/>
            <w:hideMark/>
          </w:tcPr>
          <w:p w:rsidR="00CE46FF" w:rsidRPr="00EB7598" w:rsidRDefault="00CE46FF" w:rsidP="00D404F4">
            <w:pPr>
              <w:jc w:val="center"/>
              <w:rPr>
                <w:sz w:val="22"/>
                <w:szCs w:val="22"/>
              </w:rPr>
            </w:pPr>
            <w:r w:rsidRPr="00EB7598">
              <w:rPr>
                <w:sz w:val="22"/>
                <w:szCs w:val="22"/>
              </w:rPr>
              <w:t>156 420,5</w:t>
            </w:r>
          </w:p>
        </w:tc>
        <w:tc>
          <w:tcPr>
            <w:tcW w:w="1884" w:type="dxa"/>
            <w:vAlign w:val="center"/>
            <w:hideMark/>
          </w:tcPr>
          <w:p w:rsidR="00CE46FF" w:rsidRPr="00EB7598" w:rsidRDefault="00EB7598" w:rsidP="007B5FC8">
            <w:pPr>
              <w:jc w:val="center"/>
              <w:rPr>
                <w:rFonts w:cs="Times New Roman"/>
                <w:sz w:val="22"/>
                <w:szCs w:val="22"/>
              </w:rPr>
            </w:pPr>
            <w:r w:rsidRPr="00EB7598">
              <w:rPr>
                <w:rFonts w:cs="Times New Roman"/>
                <w:sz w:val="22"/>
                <w:szCs w:val="22"/>
                <w:lang w:val="uk-UA"/>
              </w:rPr>
              <w:t>103,7</w:t>
            </w:r>
            <w:r w:rsidR="00CE46FF" w:rsidRPr="00EB7598">
              <w:rPr>
                <w:rFonts w:cs="Times New Roman"/>
                <w:sz w:val="22"/>
                <w:szCs w:val="22"/>
              </w:rPr>
              <w:t>%</w:t>
            </w:r>
          </w:p>
        </w:tc>
      </w:tr>
      <w:tr w:rsidR="00CE46FF" w:rsidRPr="007B5FC8" w:rsidTr="00CE46FF">
        <w:trPr>
          <w:trHeight w:val="550"/>
          <w:jc w:val="center"/>
        </w:trPr>
        <w:tc>
          <w:tcPr>
            <w:tcW w:w="4609" w:type="dxa"/>
            <w:hideMark/>
          </w:tcPr>
          <w:p w:rsidR="00CE46FF" w:rsidRPr="00EB7598" w:rsidRDefault="00CE46FF" w:rsidP="007B5FC8">
            <w:pPr>
              <w:jc w:val="both"/>
              <w:rPr>
                <w:rFonts w:cs="Times New Roman"/>
                <w:sz w:val="22"/>
                <w:szCs w:val="22"/>
              </w:rPr>
            </w:pPr>
            <w:r w:rsidRPr="00EB7598">
              <w:rPr>
                <w:rFonts w:cs="Times New Roman"/>
                <w:sz w:val="22"/>
                <w:szCs w:val="22"/>
              </w:rPr>
              <w:t>у тому числі обсяг бюджету розвитку місцевих бюджетів</w:t>
            </w:r>
          </w:p>
        </w:tc>
        <w:tc>
          <w:tcPr>
            <w:tcW w:w="1134" w:type="dxa"/>
            <w:vAlign w:val="center"/>
            <w:hideMark/>
          </w:tcPr>
          <w:p w:rsidR="00CE46FF" w:rsidRPr="00EB7598" w:rsidRDefault="00CE46FF" w:rsidP="007B5FC8">
            <w:pPr>
              <w:jc w:val="center"/>
              <w:rPr>
                <w:rFonts w:cs="Times New Roman"/>
                <w:sz w:val="22"/>
                <w:szCs w:val="22"/>
              </w:rPr>
            </w:pPr>
            <w:r w:rsidRPr="00EB7598">
              <w:rPr>
                <w:rFonts w:cs="Times New Roman"/>
                <w:sz w:val="22"/>
                <w:szCs w:val="22"/>
              </w:rPr>
              <w:t>тис. грн.</w:t>
            </w:r>
          </w:p>
        </w:tc>
        <w:tc>
          <w:tcPr>
            <w:tcW w:w="1559" w:type="dxa"/>
            <w:vAlign w:val="center"/>
          </w:tcPr>
          <w:p w:rsidR="00CE46FF" w:rsidRPr="00EB7598" w:rsidRDefault="00CE46FF" w:rsidP="00D404F4">
            <w:pPr>
              <w:jc w:val="center"/>
              <w:rPr>
                <w:rFonts w:cs="Times New Roman"/>
                <w:sz w:val="22"/>
                <w:szCs w:val="22"/>
              </w:rPr>
            </w:pPr>
            <w:r w:rsidRPr="00EB7598">
              <w:rPr>
                <w:rFonts w:cs="Times New Roman"/>
                <w:sz w:val="22"/>
                <w:szCs w:val="22"/>
              </w:rPr>
              <w:t>66 228,8</w:t>
            </w:r>
          </w:p>
        </w:tc>
        <w:tc>
          <w:tcPr>
            <w:tcW w:w="1418" w:type="dxa"/>
            <w:vAlign w:val="center"/>
          </w:tcPr>
          <w:p w:rsidR="00CE46FF" w:rsidRPr="00EB7598" w:rsidRDefault="00CE46FF" w:rsidP="007B5FC8">
            <w:pPr>
              <w:jc w:val="center"/>
              <w:rPr>
                <w:rFonts w:cs="Times New Roman"/>
                <w:sz w:val="22"/>
                <w:szCs w:val="22"/>
                <w:lang w:val="uk-UA"/>
              </w:rPr>
            </w:pPr>
            <w:r w:rsidRPr="00EB7598">
              <w:rPr>
                <w:rFonts w:cs="Times New Roman"/>
                <w:sz w:val="22"/>
                <w:szCs w:val="22"/>
                <w:lang w:val="uk-UA"/>
              </w:rPr>
              <w:t>72</w:t>
            </w:r>
            <w:r w:rsidR="006E3361" w:rsidRPr="00EB7598">
              <w:rPr>
                <w:rFonts w:cs="Times New Roman"/>
                <w:sz w:val="22"/>
                <w:szCs w:val="22"/>
                <w:lang w:val="uk-UA"/>
              </w:rPr>
              <w:t xml:space="preserve"> </w:t>
            </w:r>
            <w:r w:rsidRPr="00EB7598">
              <w:rPr>
                <w:rFonts w:cs="Times New Roman"/>
                <w:sz w:val="22"/>
                <w:szCs w:val="22"/>
                <w:lang w:val="uk-UA"/>
              </w:rPr>
              <w:t>294,4</w:t>
            </w:r>
          </w:p>
        </w:tc>
        <w:tc>
          <w:tcPr>
            <w:tcW w:w="1842" w:type="dxa"/>
            <w:vAlign w:val="center"/>
            <w:hideMark/>
          </w:tcPr>
          <w:p w:rsidR="00CE46FF" w:rsidRPr="00EB7598" w:rsidRDefault="00CE46FF" w:rsidP="00D404F4">
            <w:pPr>
              <w:jc w:val="center"/>
              <w:rPr>
                <w:sz w:val="22"/>
                <w:szCs w:val="22"/>
              </w:rPr>
            </w:pPr>
            <w:r w:rsidRPr="00EB7598">
              <w:rPr>
                <w:sz w:val="22"/>
                <w:szCs w:val="22"/>
              </w:rPr>
              <w:t>60 000,0</w:t>
            </w:r>
          </w:p>
        </w:tc>
        <w:tc>
          <w:tcPr>
            <w:tcW w:w="1560" w:type="dxa"/>
            <w:vAlign w:val="center"/>
            <w:hideMark/>
          </w:tcPr>
          <w:p w:rsidR="00CE46FF" w:rsidRPr="00EB7598" w:rsidRDefault="00CE46FF" w:rsidP="00D404F4">
            <w:pPr>
              <w:jc w:val="center"/>
              <w:rPr>
                <w:sz w:val="22"/>
                <w:szCs w:val="22"/>
              </w:rPr>
            </w:pPr>
            <w:r w:rsidRPr="00EB7598">
              <w:rPr>
                <w:sz w:val="22"/>
                <w:szCs w:val="22"/>
              </w:rPr>
              <w:t>54 540,2</w:t>
            </w:r>
          </w:p>
        </w:tc>
        <w:tc>
          <w:tcPr>
            <w:tcW w:w="1884" w:type="dxa"/>
            <w:vAlign w:val="center"/>
            <w:hideMark/>
          </w:tcPr>
          <w:p w:rsidR="00CE46FF" w:rsidRPr="00EB7598" w:rsidRDefault="00EB7598" w:rsidP="007B5FC8">
            <w:pPr>
              <w:jc w:val="center"/>
              <w:rPr>
                <w:rFonts w:cs="Times New Roman"/>
                <w:sz w:val="22"/>
                <w:szCs w:val="22"/>
              </w:rPr>
            </w:pPr>
            <w:r w:rsidRPr="00EB7598">
              <w:rPr>
                <w:rFonts w:cs="Times New Roman"/>
                <w:sz w:val="22"/>
                <w:szCs w:val="22"/>
                <w:lang w:val="uk-UA"/>
              </w:rPr>
              <w:t>75,4</w:t>
            </w:r>
            <w:r w:rsidR="00CE46FF" w:rsidRPr="00EB7598">
              <w:rPr>
                <w:rFonts w:cs="Times New Roman"/>
                <w:sz w:val="22"/>
                <w:szCs w:val="22"/>
              </w:rPr>
              <w:t>%</w:t>
            </w:r>
          </w:p>
        </w:tc>
      </w:tr>
      <w:tr w:rsidR="00CE46FF" w:rsidRPr="007B5FC8" w:rsidTr="00CE46FF">
        <w:trPr>
          <w:trHeight w:val="699"/>
          <w:jc w:val="center"/>
        </w:trPr>
        <w:tc>
          <w:tcPr>
            <w:tcW w:w="4609" w:type="dxa"/>
            <w:hideMark/>
          </w:tcPr>
          <w:p w:rsidR="00CE46FF" w:rsidRPr="00EB7598" w:rsidRDefault="00CE46FF" w:rsidP="007B5FC8">
            <w:pPr>
              <w:jc w:val="both"/>
              <w:rPr>
                <w:rFonts w:cs="Times New Roman"/>
                <w:sz w:val="22"/>
                <w:szCs w:val="22"/>
              </w:rPr>
            </w:pPr>
            <w:r w:rsidRPr="00EB7598">
              <w:rPr>
                <w:rFonts w:cs="Times New Roman"/>
                <w:sz w:val="22"/>
                <w:szCs w:val="22"/>
              </w:rPr>
              <w:lastRenderedPageBreak/>
              <w:t>Доходи місцевих бюджетів (без трансфертів) у розрахунку на одиницю населення</w:t>
            </w:r>
          </w:p>
        </w:tc>
        <w:tc>
          <w:tcPr>
            <w:tcW w:w="1134" w:type="dxa"/>
            <w:vAlign w:val="center"/>
            <w:hideMark/>
          </w:tcPr>
          <w:p w:rsidR="00CE46FF" w:rsidRPr="00EB7598" w:rsidRDefault="00CE46FF" w:rsidP="007B5FC8">
            <w:pPr>
              <w:jc w:val="center"/>
              <w:rPr>
                <w:rFonts w:cs="Times New Roman"/>
                <w:sz w:val="22"/>
                <w:szCs w:val="22"/>
              </w:rPr>
            </w:pPr>
            <w:r w:rsidRPr="00EB7598">
              <w:rPr>
                <w:rFonts w:cs="Times New Roman"/>
                <w:sz w:val="22"/>
                <w:szCs w:val="22"/>
              </w:rPr>
              <w:t>тис.грн</w:t>
            </w:r>
          </w:p>
        </w:tc>
        <w:tc>
          <w:tcPr>
            <w:tcW w:w="1559" w:type="dxa"/>
            <w:vAlign w:val="center"/>
          </w:tcPr>
          <w:p w:rsidR="00CE46FF" w:rsidRPr="00EB7598" w:rsidRDefault="00CE46FF" w:rsidP="00D404F4">
            <w:pPr>
              <w:jc w:val="center"/>
              <w:rPr>
                <w:rFonts w:cs="Times New Roman"/>
                <w:sz w:val="22"/>
                <w:szCs w:val="22"/>
              </w:rPr>
            </w:pPr>
            <w:r w:rsidRPr="00EB7598">
              <w:rPr>
                <w:rFonts w:cs="Times New Roman"/>
                <w:sz w:val="22"/>
                <w:szCs w:val="22"/>
              </w:rPr>
              <w:t>5,3</w:t>
            </w:r>
          </w:p>
        </w:tc>
        <w:tc>
          <w:tcPr>
            <w:tcW w:w="1418" w:type="dxa"/>
            <w:vAlign w:val="center"/>
          </w:tcPr>
          <w:p w:rsidR="00CE46FF" w:rsidRPr="00EB7598" w:rsidRDefault="00CE46FF" w:rsidP="007B5FC8">
            <w:pPr>
              <w:jc w:val="center"/>
              <w:rPr>
                <w:rFonts w:cs="Times New Roman"/>
                <w:sz w:val="22"/>
                <w:szCs w:val="22"/>
                <w:lang w:val="uk-UA"/>
              </w:rPr>
            </w:pPr>
            <w:r w:rsidRPr="00EB7598">
              <w:rPr>
                <w:rFonts w:cs="Times New Roman"/>
                <w:sz w:val="22"/>
                <w:szCs w:val="22"/>
                <w:lang w:val="uk-UA"/>
              </w:rPr>
              <w:t>6,3</w:t>
            </w:r>
          </w:p>
        </w:tc>
        <w:tc>
          <w:tcPr>
            <w:tcW w:w="1842" w:type="dxa"/>
            <w:vAlign w:val="center"/>
            <w:hideMark/>
          </w:tcPr>
          <w:p w:rsidR="00CE46FF" w:rsidRPr="00EB7598" w:rsidRDefault="00CE46FF" w:rsidP="00D404F4">
            <w:pPr>
              <w:jc w:val="center"/>
              <w:rPr>
                <w:sz w:val="22"/>
                <w:szCs w:val="22"/>
              </w:rPr>
            </w:pPr>
            <w:r w:rsidRPr="00EB7598">
              <w:rPr>
                <w:sz w:val="22"/>
                <w:szCs w:val="22"/>
              </w:rPr>
              <w:t>7,0</w:t>
            </w:r>
          </w:p>
        </w:tc>
        <w:tc>
          <w:tcPr>
            <w:tcW w:w="1560" w:type="dxa"/>
            <w:vAlign w:val="center"/>
            <w:hideMark/>
          </w:tcPr>
          <w:p w:rsidR="00CE46FF" w:rsidRPr="00EB7598" w:rsidRDefault="00EB7598" w:rsidP="00D404F4">
            <w:pPr>
              <w:jc w:val="center"/>
              <w:rPr>
                <w:sz w:val="22"/>
                <w:szCs w:val="22"/>
                <w:lang w:val="uk-UA"/>
              </w:rPr>
            </w:pPr>
            <w:r w:rsidRPr="00EB7598">
              <w:rPr>
                <w:sz w:val="22"/>
                <w:szCs w:val="22"/>
                <w:lang w:val="uk-UA"/>
              </w:rPr>
              <w:t>х</w:t>
            </w:r>
          </w:p>
        </w:tc>
        <w:tc>
          <w:tcPr>
            <w:tcW w:w="1884" w:type="dxa"/>
            <w:vAlign w:val="center"/>
            <w:hideMark/>
          </w:tcPr>
          <w:p w:rsidR="00CE46FF" w:rsidRPr="00EB7598" w:rsidRDefault="00EB7598" w:rsidP="007B5FC8">
            <w:pPr>
              <w:jc w:val="center"/>
              <w:rPr>
                <w:rFonts w:cs="Times New Roman"/>
                <w:sz w:val="22"/>
                <w:szCs w:val="22"/>
                <w:lang w:val="uk-UA"/>
              </w:rPr>
            </w:pPr>
            <w:r w:rsidRPr="00EB7598">
              <w:rPr>
                <w:rFonts w:cs="Times New Roman"/>
                <w:sz w:val="22"/>
                <w:szCs w:val="22"/>
                <w:lang w:val="uk-UA"/>
              </w:rPr>
              <w:t>х</w:t>
            </w:r>
          </w:p>
        </w:tc>
      </w:tr>
      <w:tr w:rsidR="00CE46FF" w:rsidRPr="007B5FC8" w:rsidTr="00CE46FF">
        <w:trPr>
          <w:trHeight w:val="780"/>
          <w:jc w:val="center"/>
        </w:trPr>
        <w:tc>
          <w:tcPr>
            <w:tcW w:w="4609" w:type="dxa"/>
            <w:hideMark/>
          </w:tcPr>
          <w:p w:rsidR="00CE46FF" w:rsidRPr="00EB7598" w:rsidRDefault="00CE46FF" w:rsidP="007B5FC8">
            <w:pPr>
              <w:jc w:val="both"/>
              <w:rPr>
                <w:rFonts w:cs="Times New Roman"/>
                <w:sz w:val="22"/>
                <w:szCs w:val="22"/>
              </w:rPr>
            </w:pPr>
            <w:r w:rsidRPr="00EB7598">
              <w:rPr>
                <w:rFonts w:cs="Times New Roman"/>
                <w:sz w:val="22"/>
                <w:szCs w:val="22"/>
              </w:rPr>
              <w:t>Питома вага бюджету розвитку місцевих бюджетів у загальному обсязі місцевих бюджетів</w:t>
            </w:r>
          </w:p>
        </w:tc>
        <w:tc>
          <w:tcPr>
            <w:tcW w:w="1134" w:type="dxa"/>
            <w:vAlign w:val="center"/>
            <w:hideMark/>
          </w:tcPr>
          <w:p w:rsidR="00CE46FF" w:rsidRPr="00EB7598" w:rsidRDefault="00CE46FF" w:rsidP="007B5FC8">
            <w:pPr>
              <w:jc w:val="center"/>
              <w:rPr>
                <w:rFonts w:cs="Times New Roman"/>
                <w:sz w:val="22"/>
                <w:szCs w:val="22"/>
              </w:rPr>
            </w:pPr>
            <w:r w:rsidRPr="00EB7598">
              <w:rPr>
                <w:rFonts w:cs="Times New Roman"/>
                <w:sz w:val="22"/>
                <w:szCs w:val="22"/>
              </w:rPr>
              <w:t>%</w:t>
            </w:r>
          </w:p>
        </w:tc>
        <w:tc>
          <w:tcPr>
            <w:tcW w:w="1559" w:type="dxa"/>
            <w:vAlign w:val="center"/>
          </w:tcPr>
          <w:p w:rsidR="00CE46FF" w:rsidRPr="00EB7598" w:rsidRDefault="00CE46FF" w:rsidP="00D404F4">
            <w:pPr>
              <w:jc w:val="center"/>
              <w:rPr>
                <w:rFonts w:cs="Times New Roman"/>
                <w:sz w:val="22"/>
                <w:szCs w:val="22"/>
                <w:lang w:val="uk-UA"/>
              </w:rPr>
            </w:pPr>
            <w:r w:rsidRPr="00EB7598">
              <w:rPr>
                <w:rFonts w:cs="Times New Roman"/>
                <w:sz w:val="22"/>
                <w:szCs w:val="22"/>
              </w:rPr>
              <w:t>4,8</w:t>
            </w:r>
          </w:p>
        </w:tc>
        <w:tc>
          <w:tcPr>
            <w:tcW w:w="1418" w:type="dxa"/>
            <w:vAlign w:val="center"/>
          </w:tcPr>
          <w:p w:rsidR="00CE46FF" w:rsidRPr="00EB7598" w:rsidRDefault="00CE46FF" w:rsidP="007B5FC8">
            <w:pPr>
              <w:jc w:val="center"/>
              <w:rPr>
                <w:rFonts w:cs="Times New Roman"/>
                <w:sz w:val="22"/>
                <w:szCs w:val="22"/>
                <w:lang w:val="uk-UA"/>
              </w:rPr>
            </w:pPr>
            <w:r w:rsidRPr="00EB7598">
              <w:rPr>
                <w:rFonts w:cs="Times New Roman"/>
                <w:sz w:val="22"/>
                <w:szCs w:val="22"/>
                <w:lang w:val="uk-UA"/>
              </w:rPr>
              <w:t>4,4</w:t>
            </w:r>
          </w:p>
        </w:tc>
        <w:tc>
          <w:tcPr>
            <w:tcW w:w="1842" w:type="dxa"/>
            <w:vAlign w:val="center"/>
            <w:hideMark/>
          </w:tcPr>
          <w:p w:rsidR="00CE46FF" w:rsidRPr="00EB7598" w:rsidRDefault="00CE46FF" w:rsidP="00D404F4">
            <w:pPr>
              <w:jc w:val="center"/>
              <w:rPr>
                <w:sz w:val="22"/>
                <w:szCs w:val="22"/>
              </w:rPr>
            </w:pPr>
            <w:r w:rsidRPr="00EB7598">
              <w:rPr>
                <w:sz w:val="22"/>
                <w:szCs w:val="22"/>
              </w:rPr>
              <w:t>3,3</w:t>
            </w:r>
          </w:p>
        </w:tc>
        <w:tc>
          <w:tcPr>
            <w:tcW w:w="1560" w:type="dxa"/>
            <w:vAlign w:val="center"/>
            <w:hideMark/>
          </w:tcPr>
          <w:p w:rsidR="00CE46FF" w:rsidRPr="00EB7598" w:rsidRDefault="00CE46FF" w:rsidP="00D404F4">
            <w:pPr>
              <w:jc w:val="center"/>
              <w:rPr>
                <w:sz w:val="22"/>
                <w:szCs w:val="22"/>
              </w:rPr>
            </w:pPr>
            <w:r w:rsidRPr="00EB7598">
              <w:rPr>
                <w:sz w:val="22"/>
                <w:szCs w:val="22"/>
              </w:rPr>
              <w:t>3,0</w:t>
            </w:r>
          </w:p>
        </w:tc>
        <w:tc>
          <w:tcPr>
            <w:tcW w:w="1884" w:type="dxa"/>
            <w:vAlign w:val="center"/>
            <w:hideMark/>
          </w:tcPr>
          <w:p w:rsidR="00CE46FF" w:rsidRPr="00EB7598" w:rsidRDefault="00CE46FF" w:rsidP="007B5FC8">
            <w:pPr>
              <w:jc w:val="center"/>
              <w:rPr>
                <w:rFonts w:cs="Times New Roman"/>
                <w:sz w:val="22"/>
                <w:szCs w:val="22"/>
              </w:rPr>
            </w:pPr>
            <w:r w:rsidRPr="00EB7598">
              <w:rPr>
                <w:rFonts w:cs="Times New Roman"/>
                <w:sz w:val="22"/>
                <w:szCs w:val="22"/>
              </w:rPr>
              <w:t>х</w:t>
            </w:r>
          </w:p>
        </w:tc>
      </w:tr>
      <w:tr w:rsidR="00CE46FF" w:rsidRPr="007B5FC8" w:rsidTr="00CE46FF">
        <w:trPr>
          <w:trHeight w:val="848"/>
          <w:jc w:val="center"/>
        </w:trPr>
        <w:tc>
          <w:tcPr>
            <w:tcW w:w="4609" w:type="dxa"/>
            <w:hideMark/>
          </w:tcPr>
          <w:p w:rsidR="00CE46FF" w:rsidRPr="00EB7598" w:rsidRDefault="00CE46FF" w:rsidP="007B5FC8">
            <w:pPr>
              <w:jc w:val="both"/>
              <w:rPr>
                <w:rFonts w:cs="Times New Roman"/>
                <w:sz w:val="22"/>
                <w:szCs w:val="22"/>
              </w:rPr>
            </w:pPr>
            <w:r w:rsidRPr="00EB7598">
              <w:rPr>
                <w:rFonts w:cs="Times New Roman"/>
                <w:sz w:val="22"/>
                <w:szCs w:val="22"/>
              </w:rPr>
              <w:t>Капітальні видатки місцевих бюджетів (без трансфертів з державного бюджету) у розрахунку на одну особу</w:t>
            </w:r>
          </w:p>
        </w:tc>
        <w:tc>
          <w:tcPr>
            <w:tcW w:w="1134" w:type="dxa"/>
            <w:vAlign w:val="center"/>
            <w:hideMark/>
          </w:tcPr>
          <w:p w:rsidR="00CE46FF" w:rsidRPr="00EB7598" w:rsidRDefault="00CE46FF" w:rsidP="007B5FC8">
            <w:pPr>
              <w:jc w:val="center"/>
              <w:rPr>
                <w:rFonts w:cs="Times New Roman"/>
                <w:sz w:val="22"/>
                <w:szCs w:val="22"/>
              </w:rPr>
            </w:pPr>
            <w:r w:rsidRPr="00EB7598">
              <w:rPr>
                <w:rFonts w:cs="Times New Roman"/>
                <w:sz w:val="22"/>
                <w:szCs w:val="22"/>
              </w:rPr>
              <w:t>тис.грн.</w:t>
            </w:r>
          </w:p>
        </w:tc>
        <w:tc>
          <w:tcPr>
            <w:tcW w:w="1559" w:type="dxa"/>
            <w:vAlign w:val="center"/>
          </w:tcPr>
          <w:p w:rsidR="00CE46FF" w:rsidRPr="00EB7598" w:rsidRDefault="00CE46FF" w:rsidP="00D404F4">
            <w:pPr>
              <w:jc w:val="center"/>
              <w:rPr>
                <w:rFonts w:cs="Times New Roman"/>
                <w:sz w:val="22"/>
                <w:szCs w:val="22"/>
              </w:rPr>
            </w:pPr>
            <w:r w:rsidRPr="00EB7598">
              <w:rPr>
                <w:rFonts w:cs="Times New Roman"/>
                <w:sz w:val="22"/>
                <w:szCs w:val="22"/>
              </w:rPr>
              <w:t>2,2</w:t>
            </w:r>
          </w:p>
        </w:tc>
        <w:tc>
          <w:tcPr>
            <w:tcW w:w="1418" w:type="dxa"/>
            <w:vAlign w:val="center"/>
          </w:tcPr>
          <w:p w:rsidR="00CE46FF" w:rsidRPr="00EB7598" w:rsidRDefault="00EB7598" w:rsidP="007B5FC8">
            <w:pPr>
              <w:jc w:val="center"/>
              <w:rPr>
                <w:rFonts w:cs="Times New Roman"/>
                <w:sz w:val="22"/>
                <w:szCs w:val="22"/>
                <w:lang w:val="uk-UA"/>
              </w:rPr>
            </w:pPr>
            <w:r w:rsidRPr="00EB7598">
              <w:rPr>
                <w:rFonts w:cs="Times New Roman"/>
                <w:sz w:val="22"/>
                <w:szCs w:val="22"/>
                <w:lang w:val="uk-UA"/>
              </w:rPr>
              <w:t>х</w:t>
            </w:r>
          </w:p>
        </w:tc>
        <w:tc>
          <w:tcPr>
            <w:tcW w:w="1842" w:type="dxa"/>
            <w:vAlign w:val="center"/>
            <w:hideMark/>
          </w:tcPr>
          <w:p w:rsidR="00CE46FF" w:rsidRPr="00EB7598" w:rsidRDefault="00CE46FF" w:rsidP="00D404F4">
            <w:pPr>
              <w:jc w:val="center"/>
              <w:rPr>
                <w:sz w:val="22"/>
                <w:szCs w:val="22"/>
              </w:rPr>
            </w:pPr>
            <w:r w:rsidRPr="00EB7598">
              <w:rPr>
                <w:sz w:val="22"/>
                <w:szCs w:val="22"/>
              </w:rPr>
              <w:t>3,0</w:t>
            </w:r>
          </w:p>
        </w:tc>
        <w:tc>
          <w:tcPr>
            <w:tcW w:w="1560" w:type="dxa"/>
            <w:vAlign w:val="center"/>
            <w:hideMark/>
          </w:tcPr>
          <w:p w:rsidR="00CE46FF" w:rsidRPr="00EB7598" w:rsidRDefault="00EB7598" w:rsidP="00D404F4">
            <w:pPr>
              <w:jc w:val="center"/>
              <w:rPr>
                <w:sz w:val="22"/>
                <w:szCs w:val="22"/>
                <w:lang w:val="uk-UA"/>
              </w:rPr>
            </w:pPr>
            <w:r w:rsidRPr="00EB7598">
              <w:rPr>
                <w:sz w:val="22"/>
                <w:szCs w:val="22"/>
                <w:lang w:val="uk-UA"/>
              </w:rPr>
              <w:t>х</w:t>
            </w:r>
          </w:p>
        </w:tc>
        <w:tc>
          <w:tcPr>
            <w:tcW w:w="1884" w:type="dxa"/>
            <w:vAlign w:val="center"/>
            <w:hideMark/>
          </w:tcPr>
          <w:p w:rsidR="00CE46FF" w:rsidRPr="00EB7598" w:rsidRDefault="00EB7598" w:rsidP="007B5FC8">
            <w:pPr>
              <w:jc w:val="center"/>
              <w:rPr>
                <w:rFonts w:cs="Times New Roman"/>
                <w:sz w:val="22"/>
                <w:szCs w:val="22"/>
                <w:lang w:val="uk-UA"/>
              </w:rPr>
            </w:pPr>
            <w:r w:rsidRPr="00EB7598">
              <w:rPr>
                <w:rFonts w:cs="Times New Roman"/>
                <w:sz w:val="22"/>
                <w:szCs w:val="22"/>
                <w:lang w:val="uk-UA"/>
              </w:rPr>
              <w:t>х</w:t>
            </w:r>
          </w:p>
        </w:tc>
      </w:tr>
      <w:tr w:rsidR="00CE46FF" w:rsidRPr="007B5FC8" w:rsidTr="00CE46FF">
        <w:trPr>
          <w:trHeight w:val="421"/>
          <w:jc w:val="center"/>
        </w:trPr>
        <w:tc>
          <w:tcPr>
            <w:tcW w:w="4609" w:type="dxa"/>
            <w:hideMark/>
          </w:tcPr>
          <w:p w:rsidR="00CE46FF" w:rsidRPr="00EB7598" w:rsidRDefault="00CE46FF" w:rsidP="007B5FC8">
            <w:pPr>
              <w:jc w:val="both"/>
              <w:rPr>
                <w:rFonts w:cs="Times New Roman"/>
                <w:sz w:val="22"/>
                <w:szCs w:val="22"/>
              </w:rPr>
            </w:pPr>
            <w:r w:rsidRPr="00EB7598">
              <w:rPr>
                <w:rFonts w:cs="Times New Roman"/>
                <w:sz w:val="22"/>
                <w:szCs w:val="22"/>
              </w:rPr>
              <w:t>Видатки місцевих бюджетів, всього</w:t>
            </w:r>
          </w:p>
        </w:tc>
        <w:tc>
          <w:tcPr>
            <w:tcW w:w="1134" w:type="dxa"/>
            <w:vAlign w:val="center"/>
            <w:hideMark/>
          </w:tcPr>
          <w:p w:rsidR="00CE46FF" w:rsidRPr="00EB7598" w:rsidRDefault="00CE46FF" w:rsidP="007B5FC8">
            <w:pPr>
              <w:jc w:val="center"/>
              <w:rPr>
                <w:rFonts w:cs="Times New Roman"/>
                <w:sz w:val="22"/>
                <w:szCs w:val="22"/>
              </w:rPr>
            </w:pPr>
            <w:r w:rsidRPr="00EB7598">
              <w:rPr>
                <w:rFonts w:cs="Times New Roman"/>
                <w:sz w:val="22"/>
                <w:szCs w:val="22"/>
              </w:rPr>
              <w:t>тис.грн</w:t>
            </w:r>
          </w:p>
        </w:tc>
        <w:tc>
          <w:tcPr>
            <w:tcW w:w="1559" w:type="dxa"/>
            <w:vAlign w:val="center"/>
          </w:tcPr>
          <w:p w:rsidR="00CE46FF" w:rsidRPr="00EB7598" w:rsidRDefault="00CE46FF" w:rsidP="00D404F4">
            <w:pPr>
              <w:jc w:val="center"/>
              <w:rPr>
                <w:rFonts w:cs="Times New Roman"/>
                <w:sz w:val="22"/>
                <w:szCs w:val="22"/>
              </w:rPr>
            </w:pPr>
            <w:r w:rsidRPr="00EB7598">
              <w:rPr>
                <w:rFonts w:cs="Times New Roman"/>
                <w:sz w:val="22"/>
                <w:szCs w:val="22"/>
              </w:rPr>
              <w:t>2 670 200,0</w:t>
            </w:r>
          </w:p>
        </w:tc>
        <w:tc>
          <w:tcPr>
            <w:tcW w:w="1418" w:type="dxa"/>
            <w:vAlign w:val="center"/>
          </w:tcPr>
          <w:p w:rsidR="00CE46FF" w:rsidRPr="00EB7598" w:rsidRDefault="00CE46FF" w:rsidP="007B5FC8">
            <w:pPr>
              <w:jc w:val="center"/>
              <w:rPr>
                <w:rFonts w:cs="Times New Roman"/>
                <w:sz w:val="22"/>
                <w:szCs w:val="22"/>
                <w:lang w:val="uk-UA"/>
              </w:rPr>
            </w:pPr>
            <w:r w:rsidRPr="00EB7598">
              <w:rPr>
                <w:rFonts w:cs="Times New Roman"/>
                <w:sz w:val="22"/>
                <w:szCs w:val="22"/>
                <w:lang w:val="uk-UA"/>
              </w:rPr>
              <w:t>3 047 338,9</w:t>
            </w:r>
          </w:p>
        </w:tc>
        <w:tc>
          <w:tcPr>
            <w:tcW w:w="1842" w:type="dxa"/>
            <w:vAlign w:val="center"/>
            <w:hideMark/>
          </w:tcPr>
          <w:p w:rsidR="00CE46FF" w:rsidRPr="00EB7598" w:rsidRDefault="00CE46FF" w:rsidP="00D404F4">
            <w:pPr>
              <w:jc w:val="center"/>
              <w:rPr>
                <w:sz w:val="22"/>
                <w:szCs w:val="22"/>
              </w:rPr>
            </w:pPr>
            <w:r w:rsidRPr="00EB7598">
              <w:rPr>
                <w:sz w:val="22"/>
                <w:szCs w:val="22"/>
              </w:rPr>
              <w:t>3 450 100,0</w:t>
            </w:r>
          </w:p>
        </w:tc>
        <w:tc>
          <w:tcPr>
            <w:tcW w:w="1560" w:type="dxa"/>
            <w:vAlign w:val="center"/>
            <w:hideMark/>
          </w:tcPr>
          <w:p w:rsidR="00CE46FF" w:rsidRPr="00EB7598" w:rsidRDefault="00CE46FF" w:rsidP="00D404F4">
            <w:pPr>
              <w:jc w:val="center"/>
              <w:rPr>
                <w:sz w:val="22"/>
                <w:szCs w:val="22"/>
              </w:rPr>
            </w:pPr>
            <w:r w:rsidRPr="00EB7598">
              <w:rPr>
                <w:sz w:val="22"/>
                <w:szCs w:val="22"/>
              </w:rPr>
              <w:t>2 934 187,5</w:t>
            </w:r>
          </w:p>
        </w:tc>
        <w:tc>
          <w:tcPr>
            <w:tcW w:w="1884" w:type="dxa"/>
            <w:vAlign w:val="center"/>
            <w:hideMark/>
          </w:tcPr>
          <w:p w:rsidR="00CE46FF" w:rsidRPr="00EB7598" w:rsidRDefault="00EB7598" w:rsidP="007B5FC8">
            <w:pPr>
              <w:jc w:val="center"/>
              <w:rPr>
                <w:rFonts w:cs="Times New Roman"/>
                <w:sz w:val="22"/>
                <w:szCs w:val="22"/>
              </w:rPr>
            </w:pPr>
            <w:r w:rsidRPr="00EB7598">
              <w:rPr>
                <w:rFonts w:cs="Times New Roman"/>
                <w:sz w:val="22"/>
                <w:szCs w:val="22"/>
                <w:lang w:val="uk-UA"/>
              </w:rPr>
              <w:t>96,3</w:t>
            </w:r>
            <w:r w:rsidR="00CE46FF" w:rsidRPr="00EB7598">
              <w:rPr>
                <w:rFonts w:cs="Times New Roman"/>
                <w:sz w:val="22"/>
                <w:szCs w:val="22"/>
              </w:rPr>
              <w:t>%</w:t>
            </w:r>
          </w:p>
        </w:tc>
      </w:tr>
      <w:tr w:rsidR="00CE46FF" w:rsidRPr="007B5FC8" w:rsidTr="00CE46FF">
        <w:trPr>
          <w:trHeight w:val="541"/>
          <w:jc w:val="center"/>
        </w:trPr>
        <w:tc>
          <w:tcPr>
            <w:tcW w:w="4609" w:type="dxa"/>
            <w:hideMark/>
          </w:tcPr>
          <w:p w:rsidR="00CE46FF" w:rsidRPr="00EB7598" w:rsidRDefault="00CE46FF" w:rsidP="007B5FC8">
            <w:pPr>
              <w:jc w:val="both"/>
              <w:rPr>
                <w:rFonts w:cs="Times New Roman"/>
                <w:sz w:val="22"/>
                <w:szCs w:val="22"/>
              </w:rPr>
            </w:pPr>
            <w:r w:rsidRPr="00EB7598">
              <w:rPr>
                <w:rFonts w:cs="Times New Roman"/>
                <w:sz w:val="22"/>
                <w:szCs w:val="22"/>
              </w:rPr>
              <w:t>у т.ч. за рахунок трансфертів з державного бюджету</w:t>
            </w:r>
          </w:p>
        </w:tc>
        <w:tc>
          <w:tcPr>
            <w:tcW w:w="1134" w:type="dxa"/>
            <w:vAlign w:val="center"/>
            <w:hideMark/>
          </w:tcPr>
          <w:p w:rsidR="00CE46FF" w:rsidRPr="00EB7598" w:rsidRDefault="00CE46FF" w:rsidP="007B5FC8">
            <w:pPr>
              <w:jc w:val="center"/>
              <w:rPr>
                <w:rFonts w:cs="Times New Roman"/>
                <w:sz w:val="22"/>
                <w:szCs w:val="22"/>
              </w:rPr>
            </w:pPr>
            <w:r w:rsidRPr="00EB7598">
              <w:rPr>
                <w:rFonts w:cs="Times New Roman"/>
                <w:sz w:val="22"/>
                <w:szCs w:val="22"/>
              </w:rPr>
              <w:t>тис.грн</w:t>
            </w:r>
          </w:p>
        </w:tc>
        <w:tc>
          <w:tcPr>
            <w:tcW w:w="1559" w:type="dxa"/>
            <w:vAlign w:val="center"/>
          </w:tcPr>
          <w:p w:rsidR="00CE46FF" w:rsidRPr="00EB7598" w:rsidRDefault="00CE46FF" w:rsidP="00D404F4">
            <w:pPr>
              <w:jc w:val="center"/>
              <w:rPr>
                <w:rFonts w:cs="Times New Roman"/>
                <w:sz w:val="22"/>
                <w:szCs w:val="22"/>
              </w:rPr>
            </w:pPr>
            <w:r w:rsidRPr="00EB7598">
              <w:rPr>
                <w:rFonts w:cs="Times New Roman"/>
                <w:sz w:val="22"/>
                <w:szCs w:val="22"/>
              </w:rPr>
              <w:t>1 215 500,0</w:t>
            </w:r>
          </w:p>
        </w:tc>
        <w:tc>
          <w:tcPr>
            <w:tcW w:w="1418" w:type="dxa"/>
            <w:vAlign w:val="center"/>
          </w:tcPr>
          <w:p w:rsidR="00CE46FF" w:rsidRPr="00EB7598" w:rsidRDefault="00CE46FF" w:rsidP="007B5FC8">
            <w:pPr>
              <w:jc w:val="center"/>
              <w:rPr>
                <w:rFonts w:cs="Times New Roman"/>
                <w:sz w:val="22"/>
                <w:szCs w:val="22"/>
                <w:lang w:val="uk-UA"/>
              </w:rPr>
            </w:pPr>
            <w:r w:rsidRPr="00EB7598">
              <w:rPr>
                <w:rFonts w:cs="Times New Roman"/>
                <w:sz w:val="22"/>
                <w:szCs w:val="22"/>
                <w:lang w:val="uk-UA"/>
              </w:rPr>
              <w:t>1 236 725,3</w:t>
            </w:r>
          </w:p>
        </w:tc>
        <w:tc>
          <w:tcPr>
            <w:tcW w:w="1842" w:type="dxa"/>
            <w:vAlign w:val="center"/>
            <w:hideMark/>
          </w:tcPr>
          <w:p w:rsidR="00CE46FF" w:rsidRPr="00EB7598" w:rsidRDefault="00CE46FF" w:rsidP="00D404F4">
            <w:pPr>
              <w:jc w:val="center"/>
              <w:rPr>
                <w:sz w:val="22"/>
                <w:szCs w:val="22"/>
              </w:rPr>
            </w:pPr>
            <w:r w:rsidRPr="00EB7598">
              <w:rPr>
                <w:sz w:val="22"/>
                <w:szCs w:val="22"/>
              </w:rPr>
              <w:t>1 455 100,0</w:t>
            </w:r>
          </w:p>
        </w:tc>
        <w:tc>
          <w:tcPr>
            <w:tcW w:w="1560" w:type="dxa"/>
            <w:vAlign w:val="center"/>
            <w:hideMark/>
          </w:tcPr>
          <w:p w:rsidR="00CE46FF" w:rsidRPr="00EB7598" w:rsidRDefault="00CE46FF" w:rsidP="00D404F4">
            <w:pPr>
              <w:jc w:val="center"/>
              <w:rPr>
                <w:sz w:val="22"/>
                <w:szCs w:val="22"/>
              </w:rPr>
            </w:pPr>
            <w:r w:rsidRPr="00EB7598">
              <w:rPr>
                <w:sz w:val="22"/>
                <w:szCs w:val="22"/>
              </w:rPr>
              <w:t>743 341,4</w:t>
            </w:r>
          </w:p>
        </w:tc>
        <w:tc>
          <w:tcPr>
            <w:tcW w:w="1884" w:type="dxa"/>
            <w:vAlign w:val="center"/>
            <w:hideMark/>
          </w:tcPr>
          <w:p w:rsidR="00CE46FF" w:rsidRPr="00EB7598" w:rsidRDefault="00EB7598" w:rsidP="007B5FC8">
            <w:pPr>
              <w:jc w:val="center"/>
              <w:rPr>
                <w:rFonts w:cs="Times New Roman"/>
                <w:sz w:val="22"/>
                <w:szCs w:val="22"/>
              </w:rPr>
            </w:pPr>
            <w:r w:rsidRPr="00EB7598">
              <w:rPr>
                <w:rFonts w:cs="Times New Roman"/>
                <w:sz w:val="22"/>
                <w:szCs w:val="22"/>
                <w:lang w:val="uk-UA"/>
              </w:rPr>
              <w:t>60</w:t>
            </w:r>
            <w:r w:rsidR="00CE46FF" w:rsidRPr="00EB7598">
              <w:rPr>
                <w:rFonts w:cs="Times New Roman"/>
                <w:sz w:val="22"/>
                <w:szCs w:val="22"/>
              </w:rPr>
              <w:t>%</w:t>
            </w:r>
          </w:p>
        </w:tc>
      </w:tr>
      <w:tr w:rsidR="00CE46FF" w:rsidRPr="007B5FC8" w:rsidTr="00CE46FF">
        <w:trPr>
          <w:trHeight w:val="562"/>
          <w:jc w:val="center"/>
        </w:trPr>
        <w:tc>
          <w:tcPr>
            <w:tcW w:w="4609" w:type="dxa"/>
            <w:hideMark/>
          </w:tcPr>
          <w:p w:rsidR="00CE46FF" w:rsidRPr="00EB7598" w:rsidRDefault="00CE46FF" w:rsidP="007B5FC8">
            <w:pPr>
              <w:jc w:val="both"/>
              <w:rPr>
                <w:rFonts w:cs="Times New Roman"/>
                <w:sz w:val="22"/>
                <w:szCs w:val="22"/>
              </w:rPr>
            </w:pPr>
            <w:r w:rsidRPr="00EB7598">
              <w:rPr>
                <w:rFonts w:cs="Times New Roman"/>
                <w:sz w:val="22"/>
                <w:szCs w:val="22"/>
              </w:rPr>
              <w:t xml:space="preserve">Надходження податків і зборів </w:t>
            </w:r>
            <w:proofErr w:type="gramStart"/>
            <w:r w:rsidRPr="00EB7598">
              <w:rPr>
                <w:rFonts w:cs="Times New Roman"/>
                <w:sz w:val="22"/>
                <w:szCs w:val="22"/>
              </w:rPr>
              <w:t>до державного бюджету</w:t>
            </w:r>
            <w:proofErr w:type="gramEnd"/>
          </w:p>
        </w:tc>
        <w:tc>
          <w:tcPr>
            <w:tcW w:w="1134" w:type="dxa"/>
            <w:vAlign w:val="center"/>
            <w:hideMark/>
          </w:tcPr>
          <w:p w:rsidR="00CE46FF" w:rsidRPr="00EB7598" w:rsidRDefault="00CE46FF" w:rsidP="007B5FC8">
            <w:pPr>
              <w:jc w:val="center"/>
              <w:rPr>
                <w:rFonts w:cs="Times New Roman"/>
                <w:sz w:val="22"/>
                <w:szCs w:val="22"/>
              </w:rPr>
            </w:pPr>
            <w:r w:rsidRPr="00EB7598">
              <w:rPr>
                <w:rFonts w:cs="Times New Roman"/>
                <w:sz w:val="22"/>
                <w:szCs w:val="22"/>
              </w:rPr>
              <w:t>тис.грн</w:t>
            </w:r>
          </w:p>
        </w:tc>
        <w:tc>
          <w:tcPr>
            <w:tcW w:w="1559" w:type="dxa"/>
            <w:vAlign w:val="center"/>
          </w:tcPr>
          <w:p w:rsidR="00CE46FF" w:rsidRPr="00EB7598" w:rsidRDefault="00CE46FF" w:rsidP="00D404F4">
            <w:pPr>
              <w:jc w:val="center"/>
              <w:rPr>
                <w:rFonts w:cs="Times New Roman"/>
                <w:sz w:val="22"/>
                <w:szCs w:val="22"/>
              </w:rPr>
            </w:pPr>
            <w:r w:rsidRPr="00EB7598">
              <w:rPr>
                <w:rFonts w:cs="Times New Roman"/>
                <w:sz w:val="22"/>
                <w:szCs w:val="22"/>
              </w:rPr>
              <w:t>1 031 311,4</w:t>
            </w:r>
          </w:p>
        </w:tc>
        <w:tc>
          <w:tcPr>
            <w:tcW w:w="1418" w:type="dxa"/>
            <w:vAlign w:val="center"/>
          </w:tcPr>
          <w:p w:rsidR="00CE46FF" w:rsidRPr="00EB7598" w:rsidRDefault="00CE46FF" w:rsidP="007B5FC8">
            <w:pPr>
              <w:jc w:val="center"/>
              <w:rPr>
                <w:rFonts w:cs="Times New Roman"/>
                <w:sz w:val="22"/>
                <w:szCs w:val="22"/>
                <w:lang w:val="uk-UA"/>
              </w:rPr>
            </w:pPr>
            <w:r w:rsidRPr="00EB7598">
              <w:rPr>
                <w:rFonts w:cs="Times New Roman"/>
                <w:sz w:val="22"/>
                <w:szCs w:val="22"/>
                <w:lang w:val="uk-UA"/>
              </w:rPr>
              <w:t>1 239 285,0</w:t>
            </w:r>
          </w:p>
        </w:tc>
        <w:tc>
          <w:tcPr>
            <w:tcW w:w="1842" w:type="dxa"/>
            <w:vAlign w:val="center"/>
            <w:hideMark/>
          </w:tcPr>
          <w:p w:rsidR="00CE46FF" w:rsidRPr="00EB7598" w:rsidRDefault="00CE46FF" w:rsidP="007B5FC8">
            <w:pPr>
              <w:jc w:val="center"/>
              <w:rPr>
                <w:rFonts w:cs="Times New Roman"/>
                <w:sz w:val="22"/>
                <w:szCs w:val="22"/>
              </w:rPr>
            </w:pPr>
            <w:r w:rsidRPr="00EB7598">
              <w:rPr>
                <w:sz w:val="22"/>
                <w:szCs w:val="22"/>
              </w:rPr>
              <w:t>1 402 785,0</w:t>
            </w:r>
          </w:p>
        </w:tc>
        <w:tc>
          <w:tcPr>
            <w:tcW w:w="1560" w:type="dxa"/>
            <w:vAlign w:val="center"/>
            <w:hideMark/>
          </w:tcPr>
          <w:p w:rsidR="00CE46FF" w:rsidRPr="00EB7598" w:rsidRDefault="00EB7598" w:rsidP="007B5FC8">
            <w:pPr>
              <w:jc w:val="center"/>
              <w:rPr>
                <w:rFonts w:cs="Times New Roman"/>
                <w:sz w:val="22"/>
                <w:szCs w:val="22"/>
                <w:lang w:val="uk-UA"/>
              </w:rPr>
            </w:pPr>
            <w:r w:rsidRPr="00EB7598">
              <w:rPr>
                <w:rFonts w:cs="Times New Roman"/>
                <w:sz w:val="22"/>
                <w:szCs w:val="22"/>
                <w:lang w:val="uk-UA"/>
              </w:rPr>
              <w:t>1 531 644,0</w:t>
            </w:r>
          </w:p>
        </w:tc>
        <w:tc>
          <w:tcPr>
            <w:tcW w:w="1884" w:type="dxa"/>
            <w:vAlign w:val="center"/>
            <w:hideMark/>
          </w:tcPr>
          <w:p w:rsidR="00CE46FF" w:rsidRPr="00EB7598" w:rsidRDefault="00EB7598" w:rsidP="007B5FC8">
            <w:pPr>
              <w:jc w:val="center"/>
              <w:rPr>
                <w:rFonts w:cs="Times New Roman"/>
                <w:sz w:val="22"/>
                <w:szCs w:val="22"/>
              </w:rPr>
            </w:pPr>
            <w:r w:rsidRPr="00EB7598">
              <w:rPr>
                <w:rFonts w:cs="Times New Roman"/>
                <w:sz w:val="22"/>
                <w:szCs w:val="22"/>
                <w:lang w:val="uk-UA"/>
              </w:rPr>
              <w:t>123,6</w:t>
            </w:r>
            <w:r w:rsidR="00CE46FF" w:rsidRPr="00EB7598">
              <w:rPr>
                <w:rFonts w:cs="Times New Roman"/>
                <w:sz w:val="22"/>
                <w:szCs w:val="22"/>
              </w:rPr>
              <w:t>%</w:t>
            </w:r>
          </w:p>
        </w:tc>
      </w:tr>
      <w:tr w:rsidR="00CE46FF" w:rsidRPr="007B5FC8" w:rsidTr="00CE46FF">
        <w:trPr>
          <w:trHeight w:val="841"/>
          <w:jc w:val="center"/>
        </w:trPr>
        <w:tc>
          <w:tcPr>
            <w:tcW w:w="4609" w:type="dxa"/>
            <w:hideMark/>
          </w:tcPr>
          <w:p w:rsidR="00CE46FF" w:rsidRPr="00EB7598" w:rsidRDefault="00CE46FF" w:rsidP="007B5FC8">
            <w:pPr>
              <w:jc w:val="both"/>
              <w:rPr>
                <w:rFonts w:cs="Times New Roman"/>
                <w:sz w:val="22"/>
                <w:szCs w:val="22"/>
              </w:rPr>
            </w:pPr>
            <w:r w:rsidRPr="00EB7598">
              <w:rPr>
                <w:rFonts w:cs="Times New Roman"/>
                <w:sz w:val="22"/>
                <w:szCs w:val="22"/>
              </w:rPr>
              <w:t>Надходження коштів від сплати єдиного внеску на загальнообов’язкове державне соціальне страхування (ЄВ на ЗОДСС)</w:t>
            </w:r>
          </w:p>
        </w:tc>
        <w:tc>
          <w:tcPr>
            <w:tcW w:w="1134" w:type="dxa"/>
            <w:vAlign w:val="center"/>
            <w:hideMark/>
          </w:tcPr>
          <w:p w:rsidR="00CE46FF" w:rsidRPr="00EB7598" w:rsidRDefault="00CE46FF" w:rsidP="007B5FC8">
            <w:pPr>
              <w:jc w:val="center"/>
              <w:rPr>
                <w:rFonts w:cs="Times New Roman"/>
                <w:sz w:val="22"/>
                <w:szCs w:val="22"/>
              </w:rPr>
            </w:pPr>
            <w:r w:rsidRPr="00EB7598">
              <w:rPr>
                <w:rFonts w:cs="Times New Roman"/>
                <w:sz w:val="22"/>
                <w:szCs w:val="22"/>
              </w:rPr>
              <w:t>тис.грн</w:t>
            </w:r>
          </w:p>
        </w:tc>
        <w:tc>
          <w:tcPr>
            <w:tcW w:w="1559" w:type="dxa"/>
            <w:vAlign w:val="center"/>
          </w:tcPr>
          <w:p w:rsidR="00CE46FF" w:rsidRPr="00EB7598" w:rsidRDefault="00CE46FF" w:rsidP="00D404F4">
            <w:pPr>
              <w:jc w:val="center"/>
              <w:rPr>
                <w:rFonts w:cs="Times New Roman"/>
                <w:sz w:val="22"/>
                <w:szCs w:val="22"/>
              </w:rPr>
            </w:pPr>
            <w:r w:rsidRPr="00EB7598">
              <w:rPr>
                <w:rFonts w:cs="Times New Roman"/>
                <w:sz w:val="22"/>
                <w:szCs w:val="22"/>
              </w:rPr>
              <w:t>1 478 386,7</w:t>
            </w:r>
          </w:p>
        </w:tc>
        <w:tc>
          <w:tcPr>
            <w:tcW w:w="1418" w:type="dxa"/>
            <w:vAlign w:val="center"/>
          </w:tcPr>
          <w:p w:rsidR="00CE46FF" w:rsidRPr="00EB7598" w:rsidRDefault="00CE46FF" w:rsidP="007B5FC8">
            <w:pPr>
              <w:jc w:val="center"/>
              <w:rPr>
                <w:rFonts w:cs="Times New Roman"/>
                <w:sz w:val="22"/>
                <w:szCs w:val="22"/>
                <w:lang w:val="uk-UA"/>
              </w:rPr>
            </w:pPr>
            <w:r w:rsidRPr="00EB7598">
              <w:rPr>
                <w:rFonts w:cs="Times New Roman"/>
                <w:sz w:val="22"/>
                <w:szCs w:val="22"/>
                <w:lang w:val="uk-UA"/>
              </w:rPr>
              <w:t>1 759 499,5</w:t>
            </w:r>
          </w:p>
        </w:tc>
        <w:tc>
          <w:tcPr>
            <w:tcW w:w="1842" w:type="dxa"/>
            <w:vAlign w:val="center"/>
            <w:hideMark/>
          </w:tcPr>
          <w:p w:rsidR="00CE46FF" w:rsidRPr="00EB7598" w:rsidRDefault="00CE46FF" w:rsidP="00D404F4">
            <w:pPr>
              <w:jc w:val="center"/>
              <w:rPr>
                <w:sz w:val="22"/>
                <w:szCs w:val="22"/>
              </w:rPr>
            </w:pPr>
            <w:r w:rsidRPr="00EB7598">
              <w:rPr>
                <w:sz w:val="22"/>
                <w:szCs w:val="22"/>
              </w:rPr>
              <w:t>1 691 356,0</w:t>
            </w:r>
          </w:p>
        </w:tc>
        <w:tc>
          <w:tcPr>
            <w:tcW w:w="1560" w:type="dxa"/>
            <w:vAlign w:val="center"/>
            <w:hideMark/>
          </w:tcPr>
          <w:p w:rsidR="00CE46FF" w:rsidRPr="00EB7598" w:rsidRDefault="00EB7598" w:rsidP="007B5FC8">
            <w:pPr>
              <w:jc w:val="center"/>
              <w:rPr>
                <w:rFonts w:cs="Times New Roman"/>
                <w:sz w:val="22"/>
                <w:szCs w:val="22"/>
                <w:lang w:val="uk-UA"/>
              </w:rPr>
            </w:pPr>
            <w:r w:rsidRPr="00EB7598">
              <w:rPr>
                <w:rFonts w:cs="Times New Roman"/>
                <w:sz w:val="22"/>
                <w:szCs w:val="22"/>
                <w:lang w:val="uk-UA"/>
              </w:rPr>
              <w:t>2 004 260,6</w:t>
            </w:r>
          </w:p>
        </w:tc>
        <w:tc>
          <w:tcPr>
            <w:tcW w:w="1884" w:type="dxa"/>
            <w:vAlign w:val="center"/>
            <w:hideMark/>
          </w:tcPr>
          <w:p w:rsidR="00CE46FF" w:rsidRPr="00EB7598" w:rsidRDefault="00EB7598" w:rsidP="007B5FC8">
            <w:pPr>
              <w:jc w:val="center"/>
              <w:rPr>
                <w:rFonts w:cs="Times New Roman"/>
                <w:sz w:val="22"/>
                <w:szCs w:val="22"/>
              </w:rPr>
            </w:pPr>
            <w:r w:rsidRPr="00EB7598">
              <w:rPr>
                <w:rFonts w:cs="Times New Roman"/>
                <w:sz w:val="22"/>
                <w:szCs w:val="22"/>
                <w:lang w:val="uk-UA"/>
              </w:rPr>
              <w:t>113,9</w:t>
            </w:r>
            <w:r w:rsidR="00CE46FF" w:rsidRPr="00EB7598">
              <w:rPr>
                <w:rFonts w:cs="Times New Roman"/>
                <w:sz w:val="22"/>
                <w:szCs w:val="22"/>
              </w:rPr>
              <w:t>%</w:t>
            </w:r>
          </w:p>
        </w:tc>
      </w:tr>
      <w:tr w:rsidR="00CE46FF" w:rsidRPr="007B5FC8" w:rsidTr="00CE46FF">
        <w:trPr>
          <w:trHeight w:val="568"/>
          <w:jc w:val="center"/>
        </w:trPr>
        <w:tc>
          <w:tcPr>
            <w:tcW w:w="4609" w:type="dxa"/>
            <w:hideMark/>
          </w:tcPr>
          <w:p w:rsidR="00CE46FF" w:rsidRPr="00EB7598" w:rsidRDefault="00CE46FF" w:rsidP="007B5FC8">
            <w:pPr>
              <w:jc w:val="both"/>
              <w:rPr>
                <w:rFonts w:cs="Times New Roman"/>
                <w:sz w:val="22"/>
                <w:szCs w:val="22"/>
              </w:rPr>
            </w:pPr>
            <w:r w:rsidRPr="00EB7598">
              <w:rPr>
                <w:rFonts w:cs="Times New Roman"/>
                <w:sz w:val="22"/>
                <w:szCs w:val="22"/>
              </w:rPr>
              <w:t>Заборгованість зі сплати ЄВ на ЗОДСС (на кінець звітного періоду)</w:t>
            </w:r>
          </w:p>
        </w:tc>
        <w:tc>
          <w:tcPr>
            <w:tcW w:w="1134" w:type="dxa"/>
            <w:vAlign w:val="center"/>
            <w:hideMark/>
          </w:tcPr>
          <w:p w:rsidR="00CE46FF" w:rsidRPr="00EB7598" w:rsidRDefault="00CE46FF" w:rsidP="007B5FC8">
            <w:pPr>
              <w:jc w:val="center"/>
              <w:rPr>
                <w:rFonts w:cs="Times New Roman"/>
                <w:sz w:val="22"/>
                <w:szCs w:val="22"/>
              </w:rPr>
            </w:pPr>
            <w:r w:rsidRPr="00EB7598">
              <w:rPr>
                <w:rFonts w:cs="Times New Roman"/>
                <w:sz w:val="22"/>
                <w:szCs w:val="22"/>
              </w:rPr>
              <w:t>тис.грн</w:t>
            </w:r>
          </w:p>
        </w:tc>
        <w:tc>
          <w:tcPr>
            <w:tcW w:w="1559" w:type="dxa"/>
            <w:vAlign w:val="center"/>
          </w:tcPr>
          <w:p w:rsidR="00CE46FF" w:rsidRPr="00EB7598" w:rsidRDefault="00CE46FF" w:rsidP="00D404F4">
            <w:pPr>
              <w:jc w:val="center"/>
              <w:rPr>
                <w:rFonts w:cs="Times New Roman"/>
                <w:sz w:val="22"/>
                <w:szCs w:val="22"/>
              </w:rPr>
            </w:pPr>
            <w:r w:rsidRPr="00EB7598">
              <w:rPr>
                <w:rFonts w:cs="Times New Roman"/>
                <w:sz w:val="22"/>
                <w:szCs w:val="22"/>
              </w:rPr>
              <w:t>29 222,2</w:t>
            </w:r>
          </w:p>
        </w:tc>
        <w:tc>
          <w:tcPr>
            <w:tcW w:w="1418" w:type="dxa"/>
            <w:vAlign w:val="center"/>
          </w:tcPr>
          <w:p w:rsidR="00CE46FF" w:rsidRPr="00EB7598" w:rsidRDefault="00CE46FF" w:rsidP="007B5FC8">
            <w:pPr>
              <w:jc w:val="center"/>
              <w:rPr>
                <w:rFonts w:cs="Times New Roman"/>
                <w:sz w:val="22"/>
                <w:szCs w:val="22"/>
                <w:lang w:val="uk-UA"/>
              </w:rPr>
            </w:pPr>
            <w:r w:rsidRPr="00EB7598">
              <w:rPr>
                <w:rFonts w:cs="Times New Roman"/>
                <w:sz w:val="22"/>
                <w:szCs w:val="22"/>
                <w:lang w:val="uk-UA"/>
              </w:rPr>
              <w:t>68 487,0</w:t>
            </w:r>
          </w:p>
        </w:tc>
        <w:tc>
          <w:tcPr>
            <w:tcW w:w="1842" w:type="dxa"/>
            <w:vAlign w:val="center"/>
            <w:hideMark/>
          </w:tcPr>
          <w:p w:rsidR="00CE46FF" w:rsidRPr="00EB7598" w:rsidRDefault="00CE46FF" w:rsidP="00D404F4">
            <w:pPr>
              <w:jc w:val="center"/>
              <w:rPr>
                <w:sz w:val="22"/>
                <w:szCs w:val="22"/>
              </w:rPr>
            </w:pPr>
            <w:r w:rsidRPr="00EB7598">
              <w:rPr>
                <w:sz w:val="22"/>
                <w:szCs w:val="22"/>
              </w:rPr>
              <w:t>75 000,0</w:t>
            </w:r>
          </w:p>
        </w:tc>
        <w:tc>
          <w:tcPr>
            <w:tcW w:w="1560" w:type="dxa"/>
            <w:vAlign w:val="center"/>
            <w:hideMark/>
          </w:tcPr>
          <w:p w:rsidR="00CE46FF" w:rsidRPr="00EB7598" w:rsidRDefault="00EB7598" w:rsidP="007B5FC8">
            <w:pPr>
              <w:jc w:val="center"/>
              <w:rPr>
                <w:rFonts w:cs="Times New Roman"/>
                <w:sz w:val="22"/>
                <w:szCs w:val="22"/>
                <w:lang w:val="uk-UA"/>
              </w:rPr>
            </w:pPr>
            <w:r w:rsidRPr="00EB7598">
              <w:rPr>
                <w:rFonts w:cs="Times New Roman"/>
                <w:sz w:val="22"/>
                <w:szCs w:val="22"/>
                <w:lang w:val="uk-UA"/>
              </w:rPr>
              <w:t>134 401,9</w:t>
            </w:r>
          </w:p>
        </w:tc>
        <w:tc>
          <w:tcPr>
            <w:tcW w:w="1884" w:type="dxa"/>
            <w:vAlign w:val="center"/>
            <w:hideMark/>
          </w:tcPr>
          <w:p w:rsidR="00CE46FF" w:rsidRPr="00EB7598" w:rsidRDefault="00EB7598" w:rsidP="007B5FC8">
            <w:pPr>
              <w:jc w:val="center"/>
              <w:rPr>
                <w:rFonts w:cs="Times New Roman"/>
                <w:sz w:val="22"/>
                <w:szCs w:val="22"/>
              </w:rPr>
            </w:pPr>
            <w:r w:rsidRPr="00EB7598">
              <w:rPr>
                <w:rFonts w:cs="Times New Roman"/>
                <w:sz w:val="22"/>
                <w:szCs w:val="22"/>
                <w:lang w:val="uk-UA"/>
              </w:rPr>
              <w:t>196</w:t>
            </w:r>
            <w:r w:rsidR="00CE46FF" w:rsidRPr="00EB7598">
              <w:rPr>
                <w:rFonts w:cs="Times New Roman"/>
                <w:sz w:val="22"/>
                <w:szCs w:val="22"/>
              </w:rPr>
              <w:t>%</w:t>
            </w:r>
          </w:p>
        </w:tc>
      </w:tr>
      <w:tr w:rsidR="00CE46FF" w:rsidRPr="007B5FC8" w:rsidTr="00CE46FF">
        <w:trPr>
          <w:trHeight w:val="548"/>
          <w:jc w:val="center"/>
        </w:trPr>
        <w:tc>
          <w:tcPr>
            <w:tcW w:w="4609" w:type="dxa"/>
            <w:hideMark/>
          </w:tcPr>
          <w:p w:rsidR="00CE46FF" w:rsidRPr="00EB7598" w:rsidRDefault="00CE46FF" w:rsidP="007B5FC8">
            <w:pPr>
              <w:jc w:val="both"/>
              <w:rPr>
                <w:rFonts w:cs="Times New Roman"/>
                <w:sz w:val="22"/>
                <w:szCs w:val="22"/>
              </w:rPr>
            </w:pPr>
            <w:r w:rsidRPr="00EB7598">
              <w:rPr>
                <w:rFonts w:cs="Times New Roman"/>
                <w:sz w:val="22"/>
                <w:szCs w:val="22"/>
              </w:rPr>
              <w:t>Темп зростання (зменшення) заборгованості зі сплати ЄВ на ЗОДСС (</w:t>
            </w:r>
            <w:proofErr w:type="gramStart"/>
            <w:r w:rsidRPr="00EB7598">
              <w:rPr>
                <w:rFonts w:cs="Times New Roman"/>
                <w:sz w:val="22"/>
                <w:szCs w:val="22"/>
              </w:rPr>
              <w:t>до початку</w:t>
            </w:r>
            <w:proofErr w:type="gramEnd"/>
            <w:r w:rsidRPr="00EB7598">
              <w:rPr>
                <w:rFonts w:cs="Times New Roman"/>
                <w:sz w:val="22"/>
                <w:szCs w:val="22"/>
              </w:rPr>
              <w:t xml:space="preserve"> року)</w:t>
            </w:r>
          </w:p>
        </w:tc>
        <w:tc>
          <w:tcPr>
            <w:tcW w:w="1134" w:type="dxa"/>
            <w:vAlign w:val="center"/>
            <w:hideMark/>
          </w:tcPr>
          <w:p w:rsidR="00CE46FF" w:rsidRPr="00EB7598" w:rsidRDefault="00CE46FF" w:rsidP="007B5FC8">
            <w:pPr>
              <w:jc w:val="center"/>
              <w:rPr>
                <w:rFonts w:cs="Times New Roman"/>
                <w:sz w:val="22"/>
                <w:szCs w:val="22"/>
              </w:rPr>
            </w:pPr>
            <w:r w:rsidRPr="00EB7598">
              <w:rPr>
                <w:rFonts w:cs="Times New Roman"/>
                <w:sz w:val="22"/>
                <w:szCs w:val="22"/>
              </w:rPr>
              <w:t>%</w:t>
            </w:r>
          </w:p>
        </w:tc>
        <w:tc>
          <w:tcPr>
            <w:tcW w:w="1559" w:type="dxa"/>
            <w:vAlign w:val="center"/>
          </w:tcPr>
          <w:p w:rsidR="00CE46FF" w:rsidRPr="00EB7598" w:rsidRDefault="00CE46FF" w:rsidP="00D404F4">
            <w:pPr>
              <w:jc w:val="center"/>
              <w:rPr>
                <w:rFonts w:cs="Times New Roman"/>
                <w:sz w:val="22"/>
                <w:szCs w:val="22"/>
              </w:rPr>
            </w:pPr>
            <w:r w:rsidRPr="00EB7598">
              <w:rPr>
                <w:rFonts w:cs="Times New Roman"/>
                <w:sz w:val="22"/>
                <w:szCs w:val="22"/>
              </w:rPr>
              <w:t>112,5</w:t>
            </w:r>
          </w:p>
        </w:tc>
        <w:tc>
          <w:tcPr>
            <w:tcW w:w="1418" w:type="dxa"/>
            <w:vAlign w:val="center"/>
          </w:tcPr>
          <w:p w:rsidR="00CE46FF" w:rsidRPr="00EB7598" w:rsidRDefault="00CE46FF" w:rsidP="007B5FC8">
            <w:pPr>
              <w:jc w:val="center"/>
              <w:rPr>
                <w:rFonts w:cs="Times New Roman"/>
                <w:sz w:val="22"/>
                <w:szCs w:val="22"/>
                <w:lang w:val="uk-UA"/>
              </w:rPr>
            </w:pPr>
            <w:r w:rsidRPr="00EB7598">
              <w:rPr>
                <w:rFonts w:cs="Times New Roman"/>
                <w:sz w:val="22"/>
                <w:szCs w:val="22"/>
                <w:lang w:val="uk-UA"/>
              </w:rPr>
              <w:t>234,3</w:t>
            </w:r>
          </w:p>
        </w:tc>
        <w:tc>
          <w:tcPr>
            <w:tcW w:w="1842" w:type="dxa"/>
            <w:vAlign w:val="center"/>
            <w:hideMark/>
          </w:tcPr>
          <w:p w:rsidR="00CE46FF" w:rsidRPr="00EB7598" w:rsidRDefault="00CE46FF" w:rsidP="00D404F4">
            <w:pPr>
              <w:jc w:val="center"/>
              <w:rPr>
                <w:sz w:val="22"/>
                <w:szCs w:val="22"/>
              </w:rPr>
            </w:pPr>
            <w:r w:rsidRPr="00EB7598">
              <w:rPr>
                <w:sz w:val="22"/>
                <w:szCs w:val="22"/>
              </w:rPr>
              <w:t>96,2</w:t>
            </w:r>
          </w:p>
        </w:tc>
        <w:tc>
          <w:tcPr>
            <w:tcW w:w="1560" w:type="dxa"/>
            <w:vAlign w:val="center"/>
            <w:hideMark/>
          </w:tcPr>
          <w:p w:rsidR="00CE46FF" w:rsidRPr="00EB7598" w:rsidRDefault="00EB7598" w:rsidP="007B5FC8">
            <w:pPr>
              <w:jc w:val="center"/>
              <w:rPr>
                <w:rFonts w:cs="Times New Roman"/>
                <w:sz w:val="22"/>
                <w:szCs w:val="22"/>
                <w:lang w:val="uk-UA"/>
              </w:rPr>
            </w:pPr>
            <w:r w:rsidRPr="00EB7598">
              <w:rPr>
                <w:rFonts w:cs="Times New Roman"/>
                <w:sz w:val="22"/>
                <w:szCs w:val="22"/>
                <w:lang w:val="uk-UA"/>
              </w:rPr>
              <w:t>196,2</w:t>
            </w:r>
          </w:p>
        </w:tc>
        <w:tc>
          <w:tcPr>
            <w:tcW w:w="1884" w:type="dxa"/>
            <w:vAlign w:val="center"/>
            <w:hideMark/>
          </w:tcPr>
          <w:p w:rsidR="00CE46FF" w:rsidRPr="00EB7598" w:rsidRDefault="00CE46FF" w:rsidP="007B5FC8">
            <w:pPr>
              <w:jc w:val="center"/>
              <w:rPr>
                <w:rFonts w:cs="Times New Roman"/>
                <w:sz w:val="22"/>
                <w:szCs w:val="22"/>
              </w:rPr>
            </w:pPr>
            <w:r w:rsidRPr="00EB7598">
              <w:rPr>
                <w:rFonts w:cs="Times New Roman"/>
                <w:sz w:val="22"/>
                <w:szCs w:val="22"/>
              </w:rPr>
              <w:t>х</w:t>
            </w:r>
          </w:p>
        </w:tc>
      </w:tr>
      <w:tr w:rsidR="00CE46FF" w:rsidRPr="007B5FC8" w:rsidTr="00CE46FF">
        <w:trPr>
          <w:trHeight w:val="1577"/>
          <w:jc w:val="center"/>
        </w:trPr>
        <w:tc>
          <w:tcPr>
            <w:tcW w:w="4609" w:type="dxa"/>
            <w:hideMark/>
          </w:tcPr>
          <w:p w:rsidR="00CE46FF" w:rsidRPr="00EB7598" w:rsidRDefault="00CE46FF" w:rsidP="007B5FC8">
            <w:pPr>
              <w:jc w:val="both"/>
              <w:rPr>
                <w:rFonts w:cs="Times New Roman"/>
                <w:sz w:val="22"/>
                <w:szCs w:val="22"/>
              </w:rPr>
            </w:pPr>
            <w:r w:rsidRPr="00EB7598">
              <w:rPr>
                <w:rFonts w:cs="Times New Roman"/>
                <w:sz w:val="22"/>
                <w:szCs w:val="22"/>
              </w:rPr>
              <w:t xml:space="preserve">Податковий борг за грошовими зобов’язаннями платників податків без урахування податкового боргу платників податків, які перебувають </w:t>
            </w:r>
            <w:proofErr w:type="gramStart"/>
            <w:r w:rsidRPr="00EB7598">
              <w:rPr>
                <w:rFonts w:cs="Times New Roman"/>
                <w:sz w:val="22"/>
                <w:szCs w:val="22"/>
              </w:rPr>
              <w:t>у процедурах</w:t>
            </w:r>
            <w:proofErr w:type="gramEnd"/>
            <w:r w:rsidRPr="00EB7598">
              <w:rPr>
                <w:rFonts w:cs="Times New Roman"/>
                <w:sz w:val="22"/>
                <w:szCs w:val="22"/>
              </w:rPr>
              <w:t xml:space="preserve"> банкрутства або щодо яких судом прийнято рішення про зупинення провадження у справі</w:t>
            </w:r>
          </w:p>
        </w:tc>
        <w:tc>
          <w:tcPr>
            <w:tcW w:w="1134" w:type="dxa"/>
            <w:vAlign w:val="center"/>
            <w:hideMark/>
          </w:tcPr>
          <w:p w:rsidR="00CE46FF" w:rsidRPr="00EB7598" w:rsidRDefault="00CE46FF" w:rsidP="007B5FC8">
            <w:pPr>
              <w:jc w:val="center"/>
              <w:rPr>
                <w:rFonts w:cs="Times New Roman"/>
                <w:sz w:val="22"/>
                <w:szCs w:val="22"/>
              </w:rPr>
            </w:pPr>
            <w:r w:rsidRPr="00EB7598">
              <w:rPr>
                <w:rFonts w:cs="Times New Roman"/>
                <w:sz w:val="22"/>
                <w:szCs w:val="22"/>
              </w:rPr>
              <w:t>тис.грн</w:t>
            </w:r>
          </w:p>
        </w:tc>
        <w:tc>
          <w:tcPr>
            <w:tcW w:w="1559" w:type="dxa"/>
            <w:vAlign w:val="center"/>
          </w:tcPr>
          <w:p w:rsidR="00CE46FF" w:rsidRPr="00EB7598" w:rsidRDefault="00CE46FF" w:rsidP="00D404F4">
            <w:pPr>
              <w:jc w:val="center"/>
              <w:rPr>
                <w:rFonts w:cs="Times New Roman"/>
                <w:sz w:val="22"/>
                <w:szCs w:val="22"/>
              </w:rPr>
            </w:pPr>
            <w:r w:rsidRPr="00EB7598">
              <w:rPr>
                <w:rFonts w:cs="Times New Roman"/>
                <w:sz w:val="22"/>
                <w:szCs w:val="22"/>
              </w:rPr>
              <w:t>211 751,5</w:t>
            </w:r>
          </w:p>
        </w:tc>
        <w:tc>
          <w:tcPr>
            <w:tcW w:w="1418" w:type="dxa"/>
            <w:vAlign w:val="center"/>
          </w:tcPr>
          <w:p w:rsidR="00CE46FF" w:rsidRPr="00EB7598" w:rsidRDefault="00CE46FF" w:rsidP="007B5FC8">
            <w:pPr>
              <w:jc w:val="center"/>
              <w:rPr>
                <w:rFonts w:cs="Times New Roman"/>
                <w:sz w:val="22"/>
                <w:szCs w:val="22"/>
                <w:lang w:val="uk-UA"/>
              </w:rPr>
            </w:pPr>
            <w:r w:rsidRPr="00EB7598">
              <w:rPr>
                <w:rFonts w:cs="Times New Roman"/>
                <w:sz w:val="22"/>
                <w:szCs w:val="22"/>
                <w:lang w:val="uk-UA"/>
              </w:rPr>
              <w:t>282 170,7</w:t>
            </w:r>
          </w:p>
        </w:tc>
        <w:tc>
          <w:tcPr>
            <w:tcW w:w="1842" w:type="dxa"/>
            <w:vAlign w:val="center"/>
            <w:hideMark/>
          </w:tcPr>
          <w:p w:rsidR="00CE46FF" w:rsidRPr="00EB7598" w:rsidRDefault="00CE46FF" w:rsidP="00D404F4">
            <w:pPr>
              <w:jc w:val="center"/>
              <w:rPr>
                <w:sz w:val="22"/>
                <w:szCs w:val="22"/>
              </w:rPr>
            </w:pPr>
            <w:r w:rsidRPr="00EB7598">
              <w:rPr>
                <w:sz w:val="22"/>
                <w:szCs w:val="22"/>
              </w:rPr>
              <w:t>291 000,0</w:t>
            </w:r>
          </w:p>
        </w:tc>
        <w:tc>
          <w:tcPr>
            <w:tcW w:w="1560" w:type="dxa"/>
            <w:vAlign w:val="center"/>
            <w:hideMark/>
          </w:tcPr>
          <w:p w:rsidR="00CE46FF" w:rsidRPr="00EB7598" w:rsidRDefault="00EB7598" w:rsidP="007B5FC8">
            <w:pPr>
              <w:jc w:val="center"/>
              <w:rPr>
                <w:rFonts w:cs="Times New Roman"/>
                <w:sz w:val="22"/>
                <w:szCs w:val="22"/>
                <w:lang w:val="uk-UA"/>
              </w:rPr>
            </w:pPr>
            <w:r w:rsidRPr="00EB7598">
              <w:rPr>
                <w:rFonts w:cs="Times New Roman"/>
                <w:sz w:val="22"/>
                <w:szCs w:val="22"/>
                <w:lang w:val="uk-UA"/>
              </w:rPr>
              <w:t>323 478,1</w:t>
            </w:r>
          </w:p>
        </w:tc>
        <w:tc>
          <w:tcPr>
            <w:tcW w:w="1884" w:type="dxa"/>
            <w:vAlign w:val="center"/>
            <w:hideMark/>
          </w:tcPr>
          <w:p w:rsidR="00CE46FF" w:rsidRPr="00EB7598" w:rsidRDefault="00EB7598" w:rsidP="007B5FC8">
            <w:pPr>
              <w:jc w:val="center"/>
              <w:rPr>
                <w:rFonts w:cs="Times New Roman"/>
                <w:sz w:val="22"/>
                <w:szCs w:val="22"/>
              </w:rPr>
            </w:pPr>
            <w:r w:rsidRPr="00EB7598">
              <w:rPr>
                <w:rFonts w:cs="Times New Roman"/>
                <w:sz w:val="22"/>
                <w:szCs w:val="22"/>
                <w:lang w:val="uk-UA"/>
              </w:rPr>
              <w:t>114,6</w:t>
            </w:r>
            <w:r w:rsidR="00CE46FF" w:rsidRPr="00EB7598">
              <w:rPr>
                <w:rFonts w:cs="Times New Roman"/>
                <w:sz w:val="22"/>
                <w:szCs w:val="22"/>
              </w:rPr>
              <w:t>%</w:t>
            </w:r>
          </w:p>
        </w:tc>
      </w:tr>
      <w:tr w:rsidR="00CE46FF" w:rsidRPr="007B5FC8" w:rsidTr="00CE46FF">
        <w:trPr>
          <w:trHeight w:val="271"/>
          <w:jc w:val="center"/>
        </w:trPr>
        <w:tc>
          <w:tcPr>
            <w:tcW w:w="4609" w:type="dxa"/>
            <w:noWrap/>
            <w:hideMark/>
          </w:tcPr>
          <w:p w:rsidR="00CE46FF" w:rsidRPr="00EB7598" w:rsidRDefault="00CE46FF" w:rsidP="007B5FC8">
            <w:pPr>
              <w:jc w:val="both"/>
              <w:rPr>
                <w:rFonts w:cs="Times New Roman"/>
                <w:sz w:val="22"/>
                <w:szCs w:val="22"/>
              </w:rPr>
            </w:pPr>
            <w:r w:rsidRPr="00EB7598">
              <w:rPr>
                <w:rFonts w:cs="Times New Roman"/>
                <w:sz w:val="22"/>
                <w:szCs w:val="22"/>
              </w:rPr>
              <w:t>у тому числі:</w:t>
            </w:r>
          </w:p>
        </w:tc>
        <w:tc>
          <w:tcPr>
            <w:tcW w:w="1134" w:type="dxa"/>
            <w:vAlign w:val="center"/>
            <w:hideMark/>
          </w:tcPr>
          <w:p w:rsidR="00CE46FF" w:rsidRPr="00EB7598" w:rsidRDefault="00CE46FF" w:rsidP="007B5FC8">
            <w:pPr>
              <w:jc w:val="center"/>
              <w:rPr>
                <w:rFonts w:cs="Times New Roman"/>
                <w:sz w:val="22"/>
                <w:szCs w:val="22"/>
              </w:rPr>
            </w:pPr>
          </w:p>
        </w:tc>
        <w:tc>
          <w:tcPr>
            <w:tcW w:w="1559" w:type="dxa"/>
            <w:vAlign w:val="center"/>
          </w:tcPr>
          <w:p w:rsidR="00CE46FF" w:rsidRPr="00EB7598" w:rsidRDefault="00CE46FF" w:rsidP="00D404F4">
            <w:pPr>
              <w:jc w:val="center"/>
              <w:rPr>
                <w:rFonts w:cs="Times New Roman"/>
                <w:sz w:val="22"/>
                <w:szCs w:val="22"/>
              </w:rPr>
            </w:pPr>
          </w:p>
        </w:tc>
        <w:tc>
          <w:tcPr>
            <w:tcW w:w="1418" w:type="dxa"/>
            <w:vAlign w:val="center"/>
          </w:tcPr>
          <w:p w:rsidR="00CE46FF" w:rsidRPr="00EB7598" w:rsidRDefault="00CE46FF" w:rsidP="007B5FC8">
            <w:pPr>
              <w:jc w:val="center"/>
              <w:rPr>
                <w:rFonts w:cs="Times New Roman"/>
                <w:sz w:val="22"/>
                <w:szCs w:val="22"/>
              </w:rPr>
            </w:pPr>
          </w:p>
        </w:tc>
        <w:tc>
          <w:tcPr>
            <w:tcW w:w="1842" w:type="dxa"/>
            <w:vAlign w:val="center"/>
            <w:hideMark/>
          </w:tcPr>
          <w:p w:rsidR="00CE46FF" w:rsidRPr="00EB7598" w:rsidRDefault="00CE46FF" w:rsidP="00D404F4">
            <w:pPr>
              <w:jc w:val="center"/>
              <w:rPr>
                <w:sz w:val="22"/>
                <w:szCs w:val="22"/>
              </w:rPr>
            </w:pPr>
          </w:p>
        </w:tc>
        <w:tc>
          <w:tcPr>
            <w:tcW w:w="1560" w:type="dxa"/>
            <w:vAlign w:val="center"/>
            <w:hideMark/>
          </w:tcPr>
          <w:p w:rsidR="00CE46FF" w:rsidRPr="00EB7598" w:rsidRDefault="00CE46FF" w:rsidP="007B5FC8">
            <w:pPr>
              <w:jc w:val="center"/>
              <w:rPr>
                <w:rFonts w:cs="Times New Roman"/>
                <w:sz w:val="22"/>
                <w:szCs w:val="22"/>
              </w:rPr>
            </w:pPr>
          </w:p>
        </w:tc>
        <w:tc>
          <w:tcPr>
            <w:tcW w:w="1884" w:type="dxa"/>
            <w:vAlign w:val="center"/>
            <w:hideMark/>
          </w:tcPr>
          <w:p w:rsidR="00CE46FF" w:rsidRPr="00EB7598" w:rsidRDefault="00CE46FF" w:rsidP="007B5FC8">
            <w:pPr>
              <w:jc w:val="center"/>
              <w:rPr>
                <w:rFonts w:cs="Times New Roman"/>
                <w:sz w:val="22"/>
                <w:szCs w:val="22"/>
              </w:rPr>
            </w:pPr>
          </w:p>
        </w:tc>
      </w:tr>
      <w:tr w:rsidR="00CE46FF" w:rsidRPr="007B5FC8" w:rsidTr="00CE46FF">
        <w:trPr>
          <w:trHeight w:val="416"/>
          <w:jc w:val="center"/>
        </w:trPr>
        <w:tc>
          <w:tcPr>
            <w:tcW w:w="4609" w:type="dxa"/>
            <w:hideMark/>
          </w:tcPr>
          <w:p w:rsidR="00CE46FF" w:rsidRPr="00EB7598" w:rsidRDefault="00CE46FF" w:rsidP="007B5FC8">
            <w:pPr>
              <w:jc w:val="both"/>
              <w:rPr>
                <w:rFonts w:cs="Times New Roman"/>
                <w:sz w:val="22"/>
                <w:szCs w:val="22"/>
              </w:rPr>
            </w:pPr>
            <w:r w:rsidRPr="00EB7598">
              <w:rPr>
                <w:rFonts w:cs="Times New Roman"/>
                <w:sz w:val="22"/>
                <w:szCs w:val="22"/>
                <w:lang w:val="uk-UA"/>
              </w:rPr>
              <w:t>-</w:t>
            </w:r>
            <w:r w:rsidRPr="00EB7598">
              <w:rPr>
                <w:rFonts w:cs="Times New Roman"/>
                <w:sz w:val="22"/>
                <w:szCs w:val="22"/>
              </w:rPr>
              <w:t>  до державного бюджету</w:t>
            </w:r>
          </w:p>
        </w:tc>
        <w:tc>
          <w:tcPr>
            <w:tcW w:w="1134" w:type="dxa"/>
            <w:vAlign w:val="center"/>
            <w:hideMark/>
          </w:tcPr>
          <w:p w:rsidR="00CE46FF" w:rsidRPr="00EB7598" w:rsidRDefault="00CE46FF" w:rsidP="007B5FC8">
            <w:pPr>
              <w:jc w:val="center"/>
              <w:rPr>
                <w:rFonts w:cs="Times New Roman"/>
                <w:sz w:val="22"/>
                <w:szCs w:val="22"/>
              </w:rPr>
            </w:pPr>
            <w:r w:rsidRPr="00EB7598">
              <w:rPr>
                <w:rFonts w:cs="Times New Roman"/>
                <w:sz w:val="22"/>
                <w:szCs w:val="22"/>
              </w:rPr>
              <w:t>тис.грн</w:t>
            </w:r>
          </w:p>
        </w:tc>
        <w:tc>
          <w:tcPr>
            <w:tcW w:w="1559" w:type="dxa"/>
            <w:vAlign w:val="center"/>
          </w:tcPr>
          <w:p w:rsidR="00CE46FF" w:rsidRPr="00EB7598" w:rsidRDefault="00CE46FF" w:rsidP="00D404F4">
            <w:pPr>
              <w:jc w:val="center"/>
              <w:rPr>
                <w:rFonts w:cs="Times New Roman"/>
                <w:sz w:val="22"/>
                <w:szCs w:val="22"/>
              </w:rPr>
            </w:pPr>
            <w:r w:rsidRPr="00EB7598">
              <w:rPr>
                <w:rFonts w:cs="Times New Roman"/>
                <w:sz w:val="22"/>
                <w:szCs w:val="22"/>
              </w:rPr>
              <w:t>166 514,6</w:t>
            </w:r>
          </w:p>
        </w:tc>
        <w:tc>
          <w:tcPr>
            <w:tcW w:w="1418" w:type="dxa"/>
            <w:vAlign w:val="center"/>
          </w:tcPr>
          <w:p w:rsidR="00CE46FF" w:rsidRPr="00EB7598" w:rsidRDefault="00CE46FF" w:rsidP="007B5FC8">
            <w:pPr>
              <w:jc w:val="center"/>
              <w:rPr>
                <w:rFonts w:cs="Times New Roman"/>
                <w:sz w:val="22"/>
                <w:szCs w:val="22"/>
                <w:lang w:val="uk-UA"/>
              </w:rPr>
            </w:pPr>
            <w:r w:rsidRPr="00EB7598">
              <w:rPr>
                <w:rFonts w:cs="Times New Roman"/>
                <w:sz w:val="22"/>
                <w:szCs w:val="22"/>
                <w:lang w:val="uk-UA"/>
              </w:rPr>
              <w:t>228</w:t>
            </w:r>
            <w:r w:rsidR="00EB7598" w:rsidRPr="00EB7598">
              <w:rPr>
                <w:rFonts w:cs="Times New Roman"/>
                <w:sz w:val="22"/>
                <w:szCs w:val="22"/>
                <w:lang w:val="uk-UA"/>
              </w:rPr>
              <w:t xml:space="preserve"> </w:t>
            </w:r>
            <w:r w:rsidRPr="00EB7598">
              <w:rPr>
                <w:rFonts w:cs="Times New Roman"/>
                <w:sz w:val="22"/>
                <w:szCs w:val="22"/>
                <w:lang w:val="uk-UA"/>
              </w:rPr>
              <w:t>961,1</w:t>
            </w:r>
          </w:p>
        </w:tc>
        <w:tc>
          <w:tcPr>
            <w:tcW w:w="1842" w:type="dxa"/>
            <w:vAlign w:val="center"/>
            <w:hideMark/>
          </w:tcPr>
          <w:p w:rsidR="00CE46FF" w:rsidRPr="00EB7598" w:rsidRDefault="00CE46FF" w:rsidP="00D404F4">
            <w:pPr>
              <w:jc w:val="center"/>
              <w:rPr>
                <w:sz w:val="22"/>
                <w:szCs w:val="22"/>
              </w:rPr>
            </w:pPr>
            <w:r w:rsidRPr="00EB7598">
              <w:rPr>
                <w:sz w:val="22"/>
                <w:szCs w:val="22"/>
              </w:rPr>
              <w:t>234 500,0</w:t>
            </w:r>
          </w:p>
        </w:tc>
        <w:tc>
          <w:tcPr>
            <w:tcW w:w="1560" w:type="dxa"/>
            <w:vAlign w:val="center"/>
            <w:hideMark/>
          </w:tcPr>
          <w:p w:rsidR="00CE46FF" w:rsidRPr="00EB7598" w:rsidRDefault="00EB7598" w:rsidP="007B5FC8">
            <w:pPr>
              <w:jc w:val="center"/>
              <w:rPr>
                <w:rFonts w:cs="Times New Roman"/>
                <w:sz w:val="22"/>
                <w:szCs w:val="22"/>
                <w:lang w:val="uk-UA"/>
              </w:rPr>
            </w:pPr>
            <w:r w:rsidRPr="00EB7598">
              <w:rPr>
                <w:rFonts w:cs="Times New Roman"/>
                <w:sz w:val="22"/>
                <w:szCs w:val="22"/>
                <w:lang w:val="uk-UA"/>
              </w:rPr>
              <w:t>263 231,5</w:t>
            </w:r>
          </w:p>
        </w:tc>
        <w:tc>
          <w:tcPr>
            <w:tcW w:w="1884" w:type="dxa"/>
            <w:vAlign w:val="center"/>
            <w:hideMark/>
          </w:tcPr>
          <w:p w:rsidR="00CE46FF" w:rsidRPr="00EB7598" w:rsidRDefault="00EB7598" w:rsidP="007B5FC8">
            <w:pPr>
              <w:jc w:val="center"/>
              <w:rPr>
                <w:rFonts w:cs="Times New Roman"/>
                <w:sz w:val="22"/>
                <w:szCs w:val="22"/>
              </w:rPr>
            </w:pPr>
            <w:r w:rsidRPr="00EB7598">
              <w:rPr>
                <w:rFonts w:cs="Times New Roman"/>
                <w:sz w:val="22"/>
                <w:szCs w:val="22"/>
                <w:lang w:val="uk-UA"/>
              </w:rPr>
              <w:t>114,9</w:t>
            </w:r>
            <w:r w:rsidR="00CE46FF" w:rsidRPr="00EB7598">
              <w:rPr>
                <w:rFonts w:cs="Times New Roman"/>
                <w:sz w:val="22"/>
                <w:szCs w:val="22"/>
              </w:rPr>
              <w:t>%</w:t>
            </w:r>
          </w:p>
        </w:tc>
      </w:tr>
      <w:tr w:rsidR="00CE46FF" w:rsidRPr="007B5FC8" w:rsidTr="00CE46FF">
        <w:trPr>
          <w:trHeight w:val="421"/>
          <w:jc w:val="center"/>
        </w:trPr>
        <w:tc>
          <w:tcPr>
            <w:tcW w:w="4609" w:type="dxa"/>
            <w:hideMark/>
          </w:tcPr>
          <w:p w:rsidR="00CE46FF" w:rsidRPr="00EE0402" w:rsidRDefault="00CE46FF" w:rsidP="007B5FC8">
            <w:pPr>
              <w:jc w:val="both"/>
              <w:rPr>
                <w:rFonts w:cs="Times New Roman"/>
                <w:sz w:val="22"/>
                <w:szCs w:val="22"/>
              </w:rPr>
            </w:pPr>
            <w:r w:rsidRPr="00EE0402">
              <w:rPr>
                <w:rFonts w:cs="Times New Roman"/>
                <w:sz w:val="22"/>
                <w:szCs w:val="22"/>
                <w:lang w:val="uk-UA"/>
              </w:rPr>
              <w:lastRenderedPageBreak/>
              <w:t>-</w:t>
            </w:r>
            <w:r w:rsidRPr="00EE0402">
              <w:rPr>
                <w:rFonts w:cs="Times New Roman"/>
                <w:sz w:val="22"/>
                <w:szCs w:val="22"/>
              </w:rPr>
              <w:t xml:space="preserve"> до місцевих бюджетів</w:t>
            </w:r>
          </w:p>
        </w:tc>
        <w:tc>
          <w:tcPr>
            <w:tcW w:w="1134" w:type="dxa"/>
            <w:vAlign w:val="center"/>
            <w:hideMark/>
          </w:tcPr>
          <w:p w:rsidR="00CE46FF" w:rsidRPr="00EE0402" w:rsidRDefault="00CE46FF" w:rsidP="007B5FC8">
            <w:pPr>
              <w:jc w:val="center"/>
              <w:rPr>
                <w:rFonts w:cs="Times New Roman"/>
                <w:sz w:val="22"/>
                <w:szCs w:val="22"/>
              </w:rPr>
            </w:pPr>
            <w:r w:rsidRPr="00EE0402">
              <w:rPr>
                <w:rFonts w:cs="Times New Roman"/>
                <w:sz w:val="22"/>
                <w:szCs w:val="22"/>
              </w:rPr>
              <w:t>тис.грн</w:t>
            </w:r>
          </w:p>
        </w:tc>
        <w:tc>
          <w:tcPr>
            <w:tcW w:w="1559" w:type="dxa"/>
            <w:vAlign w:val="center"/>
          </w:tcPr>
          <w:p w:rsidR="00CE46FF" w:rsidRPr="00EE0402" w:rsidRDefault="00CE46FF" w:rsidP="00D404F4">
            <w:pPr>
              <w:jc w:val="center"/>
              <w:rPr>
                <w:rFonts w:cs="Times New Roman"/>
                <w:sz w:val="22"/>
                <w:szCs w:val="22"/>
                <w:lang w:val="uk-UA"/>
              </w:rPr>
            </w:pPr>
            <w:r w:rsidRPr="00EE0402">
              <w:rPr>
                <w:rFonts w:cs="Times New Roman"/>
                <w:sz w:val="22"/>
                <w:szCs w:val="22"/>
              </w:rPr>
              <w:t>45 236,9</w:t>
            </w:r>
          </w:p>
        </w:tc>
        <w:tc>
          <w:tcPr>
            <w:tcW w:w="1418" w:type="dxa"/>
            <w:vAlign w:val="center"/>
          </w:tcPr>
          <w:p w:rsidR="00CE46FF" w:rsidRPr="00EE0402" w:rsidRDefault="00CE46FF" w:rsidP="007B5FC8">
            <w:pPr>
              <w:jc w:val="center"/>
              <w:rPr>
                <w:rFonts w:cs="Times New Roman"/>
                <w:sz w:val="22"/>
                <w:szCs w:val="22"/>
                <w:lang w:val="uk-UA"/>
              </w:rPr>
            </w:pPr>
            <w:r w:rsidRPr="00EE0402">
              <w:rPr>
                <w:rFonts w:cs="Times New Roman"/>
                <w:sz w:val="22"/>
                <w:szCs w:val="22"/>
                <w:lang w:val="uk-UA"/>
              </w:rPr>
              <w:t>53</w:t>
            </w:r>
            <w:r w:rsidR="00EB7598" w:rsidRPr="00EE0402">
              <w:rPr>
                <w:rFonts w:cs="Times New Roman"/>
                <w:sz w:val="22"/>
                <w:szCs w:val="22"/>
                <w:lang w:val="uk-UA"/>
              </w:rPr>
              <w:t xml:space="preserve"> </w:t>
            </w:r>
            <w:r w:rsidRPr="00EE0402">
              <w:rPr>
                <w:rFonts w:cs="Times New Roman"/>
                <w:sz w:val="22"/>
                <w:szCs w:val="22"/>
                <w:lang w:val="uk-UA"/>
              </w:rPr>
              <w:t>209,6</w:t>
            </w:r>
          </w:p>
        </w:tc>
        <w:tc>
          <w:tcPr>
            <w:tcW w:w="1842" w:type="dxa"/>
            <w:vAlign w:val="center"/>
            <w:hideMark/>
          </w:tcPr>
          <w:p w:rsidR="00CE46FF" w:rsidRPr="00EE0402" w:rsidRDefault="00CE46FF" w:rsidP="00D404F4">
            <w:pPr>
              <w:jc w:val="center"/>
              <w:rPr>
                <w:sz w:val="22"/>
                <w:szCs w:val="22"/>
              </w:rPr>
            </w:pPr>
            <w:r w:rsidRPr="00EE0402">
              <w:rPr>
                <w:sz w:val="22"/>
                <w:szCs w:val="22"/>
              </w:rPr>
              <w:t>56 500,0</w:t>
            </w:r>
          </w:p>
        </w:tc>
        <w:tc>
          <w:tcPr>
            <w:tcW w:w="1560" w:type="dxa"/>
            <w:vAlign w:val="center"/>
            <w:hideMark/>
          </w:tcPr>
          <w:p w:rsidR="00CE46FF" w:rsidRPr="00EE0402" w:rsidRDefault="00EE0402" w:rsidP="007B5FC8">
            <w:pPr>
              <w:jc w:val="center"/>
              <w:rPr>
                <w:rFonts w:cs="Times New Roman"/>
                <w:sz w:val="22"/>
                <w:szCs w:val="22"/>
                <w:lang w:val="uk-UA"/>
              </w:rPr>
            </w:pPr>
            <w:r w:rsidRPr="00EE0402">
              <w:rPr>
                <w:rFonts w:cs="Times New Roman"/>
                <w:sz w:val="22"/>
                <w:szCs w:val="22"/>
                <w:lang w:val="uk-UA"/>
              </w:rPr>
              <w:t>60 246,6</w:t>
            </w:r>
          </w:p>
        </w:tc>
        <w:tc>
          <w:tcPr>
            <w:tcW w:w="1884" w:type="dxa"/>
            <w:vAlign w:val="center"/>
            <w:hideMark/>
          </w:tcPr>
          <w:p w:rsidR="00CE46FF" w:rsidRPr="00EE0402" w:rsidRDefault="00EE0402" w:rsidP="007B5FC8">
            <w:pPr>
              <w:jc w:val="center"/>
              <w:rPr>
                <w:rFonts w:cs="Times New Roman"/>
                <w:sz w:val="22"/>
                <w:szCs w:val="22"/>
              </w:rPr>
            </w:pPr>
            <w:r w:rsidRPr="00EE0402">
              <w:rPr>
                <w:rFonts w:cs="Times New Roman"/>
                <w:sz w:val="22"/>
                <w:szCs w:val="22"/>
                <w:lang w:val="uk-UA"/>
              </w:rPr>
              <w:t>113,2</w:t>
            </w:r>
            <w:r w:rsidR="00CE46FF" w:rsidRPr="00EE0402">
              <w:rPr>
                <w:rFonts w:cs="Times New Roman"/>
                <w:sz w:val="22"/>
                <w:szCs w:val="22"/>
              </w:rPr>
              <w:t>%</w:t>
            </w:r>
          </w:p>
        </w:tc>
      </w:tr>
      <w:tr w:rsidR="00CE46FF" w:rsidRPr="007B5FC8" w:rsidTr="00CE46FF">
        <w:trPr>
          <w:trHeight w:val="2104"/>
          <w:jc w:val="center"/>
        </w:trPr>
        <w:tc>
          <w:tcPr>
            <w:tcW w:w="4609" w:type="dxa"/>
            <w:hideMark/>
          </w:tcPr>
          <w:p w:rsidR="00CE46FF" w:rsidRPr="00EE0402" w:rsidRDefault="00CE46FF" w:rsidP="007B5FC8">
            <w:pPr>
              <w:jc w:val="both"/>
              <w:rPr>
                <w:rFonts w:cs="Times New Roman"/>
                <w:sz w:val="22"/>
                <w:szCs w:val="22"/>
              </w:rPr>
            </w:pPr>
            <w:r w:rsidRPr="00EE0402">
              <w:rPr>
                <w:rFonts w:cs="Times New Roman"/>
                <w:sz w:val="22"/>
                <w:szCs w:val="22"/>
              </w:rPr>
              <w:t xml:space="preserve">Темп зростання (зменшення) податкового боргу за грошовими зобов’язаннями платників податків без урахування податкового боргу платників податків, які перебувають </w:t>
            </w:r>
            <w:proofErr w:type="gramStart"/>
            <w:r w:rsidRPr="00EE0402">
              <w:rPr>
                <w:rFonts w:cs="Times New Roman"/>
                <w:sz w:val="22"/>
                <w:szCs w:val="22"/>
              </w:rPr>
              <w:t>у процедурах</w:t>
            </w:r>
            <w:proofErr w:type="gramEnd"/>
            <w:r w:rsidRPr="00EE0402">
              <w:rPr>
                <w:rFonts w:cs="Times New Roman"/>
                <w:sz w:val="22"/>
                <w:szCs w:val="22"/>
              </w:rPr>
              <w:t xml:space="preserve"> банкрутства або щодо яких судом прийнято рішення про зупинення провадження у справі, відсотків до початку року     </w:t>
            </w:r>
          </w:p>
        </w:tc>
        <w:tc>
          <w:tcPr>
            <w:tcW w:w="1134" w:type="dxa"/>
            <w:vAlign w:val="center"/>
            <w:hideMark/>
          </w:tcPr>
          <w:p w:rsidR="00CE46FF" w:rsidRPr="00EE0402" w:rsidRDefault="00CE46FF" w:rsidP="007B5FC8">
            <w:pPr>
              <w:jc w:val="center"/>
              <w:rPr>
                <w:rFonts w:cs="Times New Roman"/>
                <w:sz w:val="22"/>
                <w:szCs w:val="22"/>
              </w:rPr>
            </w:pPr>
            <w:r w:rsidRPr="00EE0402">
              <w:rPr>
                <w:rFonts w:cs="Times New Roman"/>
                <w:sz w:val="22"/>
                <w:szCs w:val="22"/>
              </w:rPr>
              <w:t>%</w:t>
            </w:r>
          </w:p>
        </w:tc>
        <w:tc>
          <w:tcPr>
            <w:tcW w:w="1559" w:type="dxa"/>
            <w:vAlign w:val="center"/>
          </w:tcPr>
          <w:p w:rsidR="00CE46FF" w:rsidRPr="00EE0402" w:rsidRDefault="00CE46FF" w:rsidP="00D404F4">
            <w:pPr>
              <w:jc w:val="center"/>
              <w:rPr>
                <w:rFonts w:cs="Times New Roman"/>
                <w:sz w:val="22"/>
                <w:szCs w:val="22"/>
              </w:rPr>
            </w:pPr>
            <w:r w:rsidRPr="00EE0402">
              <w:rPr>
                <w:rFonts w:cs="Times New Roman"/>
                <w:sz w:val="22"/>
                <w:szCs w:val="22"/>
              </w:rPr>
              <w:t>114,2</w:t>
            </w:r>
          </w:p>
        </w:tc>
        <w:tc>
          <w:tcPr>
            <w:tcW w:w="1418" w:type="dxa"/>
            <w:vAlign w:val="center"/>
          </w:tcPr>
          <w:p w:rsidR="00CE46FF" w:rsidRPr="00EE0402" w:rsidRDefault="00CE46FF" w:rsidP="007B5FC8">
            <w:pPr>
              <w:jc w:val="center"/>
              <w:rPr>
                <w:rFonts w:cs="Times New Roman"/>
                <w:sz w:val="22"/>
                <w:szCs w:val="22"/>
                <w:lang w:val="uk-UA"/>
              </w:rPr>
            </w:pPr>
            <w:r w:rsidRPr="00EE0402">
              <w:rPr>
                <w:rFonts w:cs="Times New Roman"/>
                <w:sz w:val="22"/>
                <w:szCs w:val="22"/>
                <w:lang w:val="uk-UA"/>
              </w:rPr>
              <w:t>133,3</w:t>
            </w:r>
          </w:p>
        </w:tc>
        <w:tc>
          <w:tcPr>
            <w:tcW w:w="1842" w:type="dxa"/>
            <w:vAlign w:val="center"/>
            <w:hideMark/>
          </w:tcPr>
          <w:p w:rsidR="00CE46FF" w:rsidRPr="00EE0402" w:rsidRDefault="00CE46FF" w:rsidP="007B5FC8">
            <w:pPr>
              <w:jc w:val="center"/>
              <w:rPr>
                <w:rFonts w:cs="Times New Roman"/>
                <w:sz w:val="22"/>
                <w:szCs w:val="22"/>
              </w:rPr>
            </w:pPr>
            <w:r w:rsidRPr="00EE0402">
              <w:rPr>
                <w:sz w:val="22"/>
                <w:szCs w:val="22"/>
              </w:rPr>
              <w:t>99,3</w:t>
            </w:r>
          </w:p>
        </w:tc>
        <w:tc>
          <w:tcPr>
            <w:tcW w:w="1560" w:type="dxa"/>
            <w:vAlign w:val="center"/>
            <w:hideMark/>
          </w:tcPr>
          <w:p w:rsidR="00CE46FF" w:rsidRPr="00EE0402" w:rsidRDefault="00EE0402" w:rsidP="007B5FC8">
            <w:pPr>
              <w:jc w:val="center"/>
              <w:rPr>
                <w:rFonts w:cs="Times New Roman"/>
                <w:sz w:val="22"/>
                <w:szCs w:val="22"/>
                <w:lang w:val="uk-UA"/>
              </w:rPr>
            </w:pPr>
            <w:r w:rsidRPr="00EE0402">
              <w:rPr>
                <w:rFonts w:cs="Times New Roman"/>
                <w:sz w:val="22"/>
                <w:szCs w:val="22"/>
                <w:lang w:val="uk-UA"/>
              </w:rPr>
              <w:t>114,6</w:t>
            </w:r>
          </w:p>
        </w:tc>
        <w:tc>
          <w:tcPr>
            <w:tcW w:w="1884" w:type="dxa"/>
            <w:vAlign w:val="center"/>
            <w:hideMark/>
          </w:tcPr>
          <w:p w:rsidR="00CE46FF" w:rsidRPr="00EE0402" w:rsidRDefault="00CE46FF" w:rsidP="007B5FC8">
            <w:pPr>
              <w:jc w:val="center"/>
              <w:rPr>
                <w:rFonts w:cs="Times New Roman"/>
                <w:sz w:val="22"/>
                <w:szCs w:val="22"/>
              </w:rPr>
            </w:pPr>
            <w:r w:rsidRPr="00EE0402">
              <w:rPr>
                <w:rFonts w:cs="Times New Roman"/>
                <w:sz w:val="22"/>
                <w:szCs w:val="22"/>
              </w:rPr>
              <w:t>х</w:t>
            </w:r>
          </w:p>
        </w:tc>
      </w:tr>
      <w:tr w:rsidR="00CE46FF" w:rsidRPr="007B5FC8" w:rsidTr="00B07213">
        <w:trPr>
          <w:trHeight w:val="557"/>
          <w:jc w:val="center"/>
        </w:trPr>
        <w:tc>
          <w:tcPr>
            <w:tcW w:w="14006" w:type="dxa"/>
            <w:gridSpan w:val="7"/>
            <w:vAlign w:val="center"/>
            <w:hideMark/>
          </w:tcPr>
          <w:p w:rsidR="00CE46FF" w:rsidRPr="007B5FC8" w:rsidRDefault="00CE46FF" w:rsidP="007B5FC8">
            <w:pPr>
              <w:jc w:val="center"/>
              <w:rPr>
                <w:rFonts w:cs="Times New Roman"/>
                <w:sz w:val="22"/>
                <w:szCs w:val="22"/>
                <w:highlight w:val="yellow"/>
              </w:rPr>
            </w:pPr>
            <w:r w:rsidRPr="006F5925">
              <w:rPr>
                <w:rFonts w:cs="Times New Roman"/>
                <w:sz w:val="22"/>
                <w:szCs w:val="22"/>
                <w:u w:val="single"/>
              </w:rPr>
              <w:t>ПОКАЗНИКИ РОЗВИТКУ СПОЖИВЧОГО РИНКУ</w:t>
            </w:r>
          </w:p>
        </w:tc>
      </w:tr>
      <w:tr w:rsidR="00D404F4" w:rsidRPr="007B5FC8" w:rsidTr="002925D0">
        <w:trPr>
          <w:trHeight w:val="544"/>
          <w:jc w:val="center"/>
        </w:trPr>
        <w:tc>
          <w:tcPr>
            <w:tcW w:w="4609" w:type="dxa"/>
            <w:hideMark/>
          </w:tcPr>
          <w:p w:rsidR="00D404F4" w:rsidRPr="002925D0" w:rsidRDefault="00D404F4" w:rsidP="007B5FC8">
            <w:pPr>
              <w:jc w:val="both"/>
              <w:rPr>
                <w:rFonts w:cs="Times New Roman"/>
                <w:sz w:val="22"/>
                <w:szCs w:val="22"/>
              </w:rPr>
            </w:pPr>
            <w:r w:rsidRPr="002925D0">
              <w:rPr>
                <w:rFonts w:cs="Times New Roman"/>
                <w:sz w:val="22"/>
                <w:szCs w:val="22"/>
              </w:rPr>
              <w:t>Роздрібний товарооборот підприємств (юридичних осіб)</w:t>
            </w:r>
          </w:p>
        </w:tc>
        <w:tc>
          <w:tcPr>
            <w:tcW w:w="1134" w:type="dxa"/>
            <w:vAlign w:val="center"/>
            <w:hideMark/>
          </w:tcPr>
          <w:p w:rsidR="00D404F4" w:rsidRPr="002925D0" w:rsidRDefault="00D404F4" w:rsidP="007B5FC8">
            <w:pPr>
              <w:jc w:val="center"/>
              <w:rPr>
                <w:rFonts w:cs="Times New Roman"/>
                <w:sz w:val="22"/>
                <w:szCs w:val="22"/>
              </w:rPr>
            </w:pPr>
            <w:r w:rsidRPr="002925D0">
              <w:rPr>
                <w:rFonts w:cs="Times New Roman"/>
                <w:sz w:val="22"/>
                <w:szCs w:val="22"/>
              </w:rPr>
              <w:t>тис.грн.</w:t>
            </w:r>
          </w:p>
        </w:tc>
        <w:tc>
          <w:tcPr>
            <w:tcW w:w="1559" w:type="dxa"/>
            <w:vAlign w:val="center"/>
            <w:hideMark/>
          </w:tcPr>
          <w:p w:rsidR="00D404F4" w:rsidRPr="002925D0" w:rsidRDefault="00D404F4" w:rsidP="0080506C">
            <w:pPr>
              <w:jc w:val="center"/>
              <w:rPr>
                <w:rFonts w:cs="Times New Roman"/>
                <w:sz w:val="22"/>
                <w:szCs w:val="22"/>
              </w:rPr>
            </w:pPr>
            <w:r w:rsidRPr="002925D0">
              <w:rPr>
                <w:rFonts w:cs="Times New Roman"/>
                <w:sz w:val="22"/>
                <w:szCs w:val="22"/>
              </w:rPr>
              <w:t>6 072 376,3</w:t>
            </w:r>
          </w:p>
        </w:tc>
        <w:tc>
          <w:tcPr>
            <w:tcW w:w="1418" w:type="dxa"/>
            <w:vAlign w:val="center"/>
          </w:tcPr>
          <w:p w:rsidR="00D404F4" w:rsidRPr="002925D0" w:rsidRDefault="00D404F4" w:rsidP="007B5FC8">
            <w:pPr>
              <w:jc w:val="center"/>
              <w:rPr>
                <w:rFonts w:cs="Times New Roman"/>
                <w:sz w:val="22"/>
                <w:szCs w:val="22"/>
                <w:lang w:val="uk-UA"/>
              </w:rPr>
            </w:pPr>
            <w:r w:rsidRPr="002925D0">
              <w:rPr>
                <w:rFonts w:cs="Times New Roman"/>
                <w:sz w:val="22"/>
                <w:szCs w:val="22"/>
                <w:lang w:val="uk-UA"/>
              </w:rPr>
              <w:t>7</w:t>
            </w:r>
            <w:r>
              <w:rPr>
                <w:rFonts w:cs="Times New Roman"/>
                <w:sz w:val="22"/>
                <w:szCs w:val="22"/>
                <w:lang w:val="uk-UA"/>
              </w:rPr>
              <w:t xml:space="preserve"> </w:t>
            </w:r>
            <w:r w:rsidRPr="002925D0">
              <w:rPr>
                <w:rFonts w:cs="Times New Roman"/>
                <w:sz w:val="22"/>
                <w:szCs w:val="22"/>
                <w:lang w:val="uk-UA"/>
              </w:rPr>
              <w:t>824</w:t>
            </w:r>
            <w:r>
              <w:rPr>
                <w:rFonts w:cs="Times New Roman"/>
                <w:sz w:val="22"/>
                <w:szCs w:val="22"/>
                <w:lang w:val="uk-UA"/>
              </w:rPr>
              <w:t xml:space="preserve"> 408,8</w:t>
            </w:r>
          </w:p>
        </w:tc>
        <w:tc>
          <w:tcPr>
            <w:tcW w:w="1842" w:type="dxa"/>
            <w:vAlign w:val="center"/>
          </w:tcPr>
          <w:p w:rsidR="00D404F4" w:rsidRPr="006F5925" w:rsidRDefault="00D404F4" w:rsidP="0080506C">
            <w:pPr>
              <w:jc w:val="center"/>
              <w:rPr>
                <w:sz w:val="22"/>
                <w:szCs w:val="22"/>
              </w:rPr>
            </w:pPr>
            <w:r w:rsidRPr="006F5925">
              <w:rPr>
                <w:sz w:val="22"/>
                <w:szCs w:val="22"/>
              </w:rPr>
              <w:t>7 964 499</w:t>
            </w:r>
          </w:p>
        </w:tc>
        <w:tc>
          <w:tcPr>
            <w:tcW w:w="1560" w:type="dxa"/>
            <w:vAlign w:val="center"/>
          </w:tcPr>
          <w:p w:rsidR="00D404F4" w:rsidRPr="000733F5" w:rsidRDefault="00D404F4" w:rsidP="00D404F4">
            <w:pPr>
              <w:jc w:val="center"/>
              <w:rPr>
                <w:rFonts w:cs="Times New Roman"/>
                <w:sz w:val="22"/>
                <w:szCs w:val="22"/>
                <w:lang w:val="uk-UA"/>
              </w:rPr>
            </w:pPr>
            <w:r w:rsidRPr="000733F5">
              <w:rPr>
                <w:rFonts w:cs="Times New Roman"/>
                <w:sz w:val="22"/>
                <w:szCs w:val="22"/>
                <w:lang w:val="uk-UA"/>
              </w:rPr>
              <w:t xml:space="preserve">Дані очікуються у </w:t>
            </w:r>
            <w:r>
              <w:rPr>
                <w:rFonts w:cs="Times New Roman"/>
                <w:sz w:val="22"/>
                <w:szCs w:val="22"/>
                <w:lang w:val="uk-UA"/>
              </w:rPr>
              <w:t>берез</w:t>
            </w:r>
            <w:r w:rsidRPr="000733F5">
              <w:rPr>
                <w:rFonts w:cs="Times New Roman"/>
                <w:sz w:val="22"/>
                <w:szCs w:val="22"/>
                <w:lang w:val="uk-UA"/>
              </w:rPr>
              <w:t>ні</w:t>
            </w:r>
          </w:p>
        </w:tc>
        <w:tc>
          <w:tcPr>
            <w:tcW w:w="1884" w:type="dxa"/>
            <w:vAlign w:val="center"/>
          </w:tcPr>
          <w:p w:rsidR="00D404F4" w:rsidRPr="002925D0" w:rsidRDefault="006D1B6B" w:rsidP="007B5FC8">
            <w:pPr>
              <w:jc w:val="center"/>
              <w:rPr>
                <w:rFonts w:cs="Times New Roman"/>
                <w:sz w:val="22"/>
                <w:szCs w:val="22"/>
                <w:lang w:val="uk-UA"/>
              </w:rPr>
            </w:pPr>
            <w:r>
              <w:rPr>
                <w:rFonts w:cs="Times New Roman"/>
                <w:sz w:val="22"/>
                <w:szCs w:val="22"/>
                <w:lang w:val="uk-UA"/>
              </w:rPr>
              <w:t>х</w:t>
            </w:r>
          </w:p>
        </w:tc>
      </w:tr>
      <w:tr w:rsidR="00D404F4" w:rsidRPr="007B5FC8" w:rsidTr="002925D0">
        <w:trPr>
          <w:trHeight w:val="552"/>
          <w:jc w:val="center"/>
        </w:trPr>
        <w:tc>
          <w:tcPr>
            <w:tcW w:w="4609" w:type="dxa"/>
            <w:hideMark/>
          </w:tcPr>
          <w:p w:rsidR="00D404F4" w:rsidRPr="002925D0" w:rsidRDefault="00D404F4" w:rsidP="007B5FC8">
            <w:pPr>
              <w:jc w:val="both"/>
              <w:rPr>
                <w:rFonts w:cs="Times New Roman"/>
                <w:sz w:val="22"/>
                <w:szCs w:val="22"/>
              </w:rPr>
            </w:pPr>
            <w:r w:rsidRPr="002925D0">
              <w:rPr>
                <w:rFonts w:cs="Times New Roman"/>
                <w:sz w:val="22"/>
                <w:szCs w:val="22"/>
              </w:rPr>
              <w:t xml:space="preserve">Обсяг обороту роздрібної торгівлі на одну особу </w:t>
            </w:r>
          </w:p>
        </w:tc>
        <w:tc>
          <w:tcPr>
            <w:tcW w:w="1134" w:type="dxa"/>
            <w:vAlign w:val="center"/>
            <w:hideMark/>
          </w:tcPr>
          <w:p w:rsidR="00D404F4" w:rsidRPr="002925D0" w:rsidRDefault="00D404F4" w:rsidP="007B5FC8">
            <w:pPr>
              <w:jc w:val="center"/>
              <w:rPr>
                <w:rFonts w:cs="Times New Roman"/>
                <w:sz w:val="22"/>
                <w:szCs w:val="22"/>
              </w:rPr>
            </w:pPr>
            <w:r w:rsidRPr="002925D0">
              <w:rPr>
                <w:rFonts w:cs="Times New Roman"/>
                <w:sz w:val="22"/>
                <w:szCs w:val="22"/>
              </w:rPr>
              <w:t>грн.</w:t>
            </w:r>
          </w:p>
        </w:tc>
        <w:tc>
          <w:tcPr>
            <w:tcW w:w="1559" w:type="dxa"/>
            <w:vAlign w:val="center"/>
            <w:hideMark/>
          </w:tcPr>
          <w:p w:rsidR="00D404F4" w:rsidRPr="002925D0" w:rsidRDefault="00D404F4" w:rsidP="007B5FC8">
            <w:pPr>
              <w:jc w:val="center"/>
              <w:rPr>
                <w:rFonts w:cs="Times New Roman"/>
                <w:sz w:val="22"/>
                <w:szCs w:val="22"/>
              </w:rPr>
            </w:pPr>
            <w:r w:rsidRPr="002925D0">
              <w:rPr>
                <w:rFonts w:cs="Times New Roman"/>
                <w:sz w:val="22"/>
                <w:szCs w:val="22"/>
              </w:rPr>
              <w:t>23 720</w:t>
            </w:r>
          </w:p>
        </w:tc>
        <w:tc>
          <w:tcPr>
            <w:tcW w:w="1418" w:type="dxa"/>
            <w:vAlign w:val="center"/>
            <w:hideMark/>
          </w:tcPr>
          <w:p w:rsidR="00D404F4" w:rsidRPr="002925D0" w:rsidRDefault="00D404F4" w:rsidP="007B5FC8">
            <w:pPr>
              <w:jc w:val="center"/>
              <w:rPr>
                <w:rFonts w:cs="Times New Roman"/>
                <w:sz w:val="22"/>
                <w:szCs w:val="22"/>
                <w:lang w:val="uk-UA"/>
              </w:rPr>
            </w:pPr>
            <w:r w:rsidRPr="002925D0">
              <w:rPr>
                <w:rFonts w:cs="Times New Roman"/>
                <w:sz w:val="22"/>
                <w:szCs w:val="22"/>
                <w:lang w:val="uk-UA"/>
              </w:rPr>
              <w:t>30 210</w:t>
            </w:r>
          </w:p>
        </w:tc>
        <w:tc>
          <w:tcPr>
            <w:tcW w:w="1842" w:type="dxa"/>
            <w:vAlign w:val="center"/>
          </w:tcPr>
          <w:p w:rsidR="00D404F4" w:rsidRPr="006F5925" w:rsidRDefault="00D404F4" w:rsidP="0080506C">
            <w:pPr>
              <w:jc w:val="center"/>
              <w:rPr>
                <w:sz w:val="22"/>
                <w:szCs w:val="22"/>
              </w:rPr>
            </w:pPr>
            <w:r w:rsidRPr="006F5925">
              <w:rPr>
                <w:sz w:val="22"/>
                <w:szCs w:val="22"/>
              </w:rPr>
              <w:t>30 399</w:t>
            </w:r>
          </w:p>
        </w:tc>
        <w:tc>
          <w:tcPr>
            <w:tcW w:w="1560" w:type="dxa"/>
            <w:vAlign w:val="center"/>
          </w:tcPr>
          <w:p w:rsidR="00D404F4" w:rsidRPr="000733F5" w:rsidRDefault="00D404F4" w:rsidP="00D404F4">
            <w:pPr>
              <w:jc w:val="center"/>
              <w:rPr>
                <w:rFonts w:cs="Times New Roman"/>
                <w:sz w:val="22"/>
                <w:szCs w:val="22"/>
                <w:lang w:val="uk-UA"/>
              </w:rPr>
            </w:pPr>
            <w:r w:rsidRPr="000733F5">
              <w:rPr>
                <w:rFonts w:cs="Times New Roman"/>
                <w:sz w:val="22"/>
                <w:szCs w:val="22"/>
                <w:lang w:val="uk-UA"/>
              </w:rPr>
              <w:t xml:space="preserve">Дані очікуються у </w:t>
            </w:r>
            <w:r>
              <w:rPr>
                <w:rFonts w:cs="Times New Roman"/>
                <w:sz w:val="22"/>
                <w:szCs w:val="22"/>
                <w:lang w:val="uk-UA"/>
              </w:rPr>
              <w:t>берез</w:t>
            </w:r>
            <w:r w:rsidRPr="000733F5">
              <w:rPr>
                <w:rFonts w:cs="Times New Roman"/>
                <w:sz w:val="22"/>
                <w:szCs w:val="22"/>
                <w:lang w:val="uk-UA"/>
              </w:rPr>
              <w:t>ні</w:t>
            </w:r>
          </w:p>
        </w:tc>
        <w:tc>
          <w:tcPr>
            <w:tcW w:w="1884" w:type="dxa"/>
            <w:vAlign w:val="center"/>
          </w:tcPr>
          <w:p w:rsidR="00D404F4" w:rsidRPr="002925D0" w:rsidRDefault="006D1B6B" w:rsidP="007B5FC8">
            <w:pPr>
              <w:jc w:val="center"/>
              <w:rPr>
                <w:rFonts w:cs="Times New Roman"/>
                <w:sz w:val="22"/>
                <w:szCs w:val="22"/>
                <w:lang w:val="uk-UA"/>
              </w:rPr>
            </w:pPr>
            <w:r>
              <w:rPr>
                <w:rFonts w:cs="Times New Roman"/>
                <w:sz w:val="22"/>
                <w:szCs w:val="22"/>
                <w:lang w:val="uk-UA"/>
              </w:rPr>
              <w:t>х</w:t>
            </w:r>
          </w:p>
        </w:tc>
      </w:tr>
      <w:tr w:rsidR="00D404F4" w:rsidRPr="007B5FC8" w:rsidTr="002925D0">
        <w:trPr>
          <w:trHeight w:val="560"/>
          <w:jc w:val="center"/>
        </w:trPr>
        <w:tc>
          <w:tcPr>
            <w:tcW w:w="4609" w:type="dxa"/>
            <w:hideMark/>
          </w:tcPr>
          <w:p w:rsidR="00D404F4" w:rsidRPr="002925D0" w:rsidRDefault="00D404F4" w:rsidP="007B5FC8">
            <w:pPr>
              <w:jc w:val="both"/>
              <w:rPr>
                <w:rFonts w:cs="Times New Roman"/>
                <w:sz w:val="22"/>
                <w:szCs w:val="22"/>
              </w:rPr>
            </w:pPr>
            <w:r w:rsidRPr="002925D0">
              <w:rPr>
                <w:rFonts w:cs="Times New Roman"/>
                <w:sz w:val="22"/>
                <w:szCs w:val="22"/>
              </w:rPr>
              <w:t xml:space="preserve">Темп зростання (зниження) </w:t>
            </w:r>
            <w:proofErr w:type="gramStart"/>
            <w:r w:rsidRPr="002925D0">
              <w:rPr>
                <w:rFonts w:cs="Times New Roman"/>
                <w:sz w:val="22"/>
                <w:szCs w:val="22"/>
              </w:rPr>
              <w:t>обороту  роздрібної</w:t>
            </w:r>
            <w:proofErr w:type="gramEnd"/>
            <w:r w:rsidRPr="002925D0">
              <w:rPr>
                <w:rFonts w:cs="Times New Roman"/>
                <w:sz w:val="22"/>
                <w:szCs w:val="22"/>
              </w:rPr>
              <w:t xml:space="preserve"> торгівлі (у порівняних цінах)</w:t>
            </w:r>
          </w:p>
        </w:tc>
        <w:tc>
          <w:tcPr>
            <w:tcW w:w="1134" w:type="dxa"/>
            <w:vAlign w:val="center"/>
            <w:hideMark/>
          </w:tcPr>
          <w:p w:rsidR="00D404F4" w:rsidRPr="002925D0" w:rsidRDefault="00D404F4" w:rsidP="007B5FC8">
            <w:pPr>
              <w:jc w:val="center"/>
              <w:rPr>
                <w:rFonts w:cs="Times New Roman"/>
                <w:sz w:val="22"/>
                <w:szCs w:val="22"/>
              </w:rPr>
            </w:pPr>
            <w:r w:rsidRPr="002925D0">
              <w:rPr>
                <w:rFonts w:cs="Times New Roman"/>
                <w:sz w:val="22"/>
                <w:szCs w:val="22"/>
              </w:rPr>
              <w:t>%</w:t>
            </w:r>
          </w:p>
        </w:tc>
        <w:tc>
          <w:tcPr>
            <w:tcW w:w="1559" w:type="dxa"/>
            <w:vAlign w:val="center"/>
            <w:hideMark/>
          </w:tcPr>
          <w:p w:rsidR="00D404F4" w:rsidRPr="002925D0" w:rsidRDefault="00D404F4" w:rsidP="007B5FC8">
            <w:pPr>
              <w:jc w:val="center"/>
              <w:rPr>
                <w:rFonts w:cs="Times New Roman"/>
                <w:sz w:val="22"/>
                <w:szCs w:val="22"/>
              </w:rPr>
            </w:pPr>
            <w:r w:rsidRPr="002925D0">
              <w:rPr>
                <w:rFonts w:cs="Times New Roman"/>
                <w:sz w:val="22"/>
                <w:szCs w:val="22"/>
              </w:rPr>
              <w:t>100,4</w:t>
            </w:r>
          </w:p>
        </w:tc>
        <w:tc>
          <w:tcPr>
            <w:tcW w:w="1418" w:type="dxa"/>
            <w:vAlign w:val="center"/>
            <w:hideMark/>
          </w:tcPr>
          <w:p w:rsidR="00D404F4" w:rsidRPr="006F5925" w:rsidRDefault="00D404F4" w:rsidP="007B5FC8">
            <w:pPr>
              <w:jc w:val="center"/>
              <w:rPr>
                <w:rFonts w:cs="Times New Roman"/>
                <w:sz w:val="22"/>
                <w:szCs w:val="22"/>
                <w:lang w:val="uk-UA"/>
              </w:rPr>
            </w:pPr>
            <w:r>
              <w:rPr>
                <w:rFonts w:cs="Times New Roman"/>
                <w:sz w:val="22"/>
                <w:szCs w:val="22"/>
                <w:lang w:val="uk-UA"/>
              </w:rPr>
              <w:t>118,5</w:t>
            </w:r>
          </w:p>
        </w:tc>
        <w:tc>
          <w:tcPr>
            <w:tcW w:w="1842" w:type="dxa"/>
            <w:vAlign w:val="center"/>
          </w:tcPr>
          <w:p w:rsidR="00D404F4" w:rsidRPr="006F5925" w:rsidRDefault="00D404F4" w:rsidP="0080506C">
            <w:pPr>
              <w:jc w:val="center"/>
              <w:rPr>
                <w:sz w:val="22"/>
                <w:szCs w:val="22"/>
              </w:rPr>
            </w:pPr>
            <w:r w:rsidRPr="006F5925">
              <w:rPr>
                <w:sz w:val="22"/>
                <w:szCs w:val="22"/>
              </w:rPr>
              <w:t>102,0</w:t>
            </w:r>
          </w:p>
        </w:tc>
        <w:tc>
          <w:tcPr>
            <w:tcW w:w="1560" w:type="dxa"/>
            <w:vAlign w:val="center"/>
          </w:tcPr>
          <w:p w:rsidR="00D404F4" w:rsidRPr="000733F5" w:rsidRDefault="00D404F4" w:rsidP="00D404F4">
            <w:pPr>
              <w:jc w:val="center"/>
              <w:rPr>
                <w:rFonts w:cs="Times New Roman"/>
                <w:sz w:val="22"/>
                <w:szCs w:val="22"/>
                <w:lang w:val="uk-UA"/>
              </w:rPr>
            </w:pPr>
            <w:r w:rsidRPr="000733F5">
              <w:rPr>
                <w:rFonts w:cs="Times New Roman"/>
                <w:sz w:val="22"/>
                <w:szCs w:val="22"/>
                <w:lang w:val="uk-UA"/>
              </w:rPr>
              <w:t xml:space="preserve">Дані очікуються у </w:t>
            </w:r>
            <w:r>
              <w:rPr>
                <w:rFonts w:cs="Times New Roman"/>
                <w:sz w:val="22"/>
                <w:szCs w:val="22"/>
                <w:lang w:val="uk-UA"/>
              </w:rPr>
              <w:t>берез</w:t>
            </w:r>
            <w:r w:rsidRPr="000733F5">
              <w:rPr>
                <w:rFonts w:cs="Times New Roman"/>
                <w:sz w:val="22"/>
                <w:szCs w:val="22"/>
                <w:lang w:val="uk-UA"/>
              </w:rPr>
              <w:t>ні</w:t>
            </w:r>
          </w:p>
        </w:tc>
        <w:tc>
          <w:tcPr>
            <w:tcW w:w="1884" w:type="dxa"/>
            <w:vAlign w:val="center"/>
          </w:tcPr>
          <w:p w:rsidR="00D404F4" w:rsidRPr="006D1B6B" w:rsidRDefault="006D1B6B" w:rsidP="007B5FC8">
            <w:pPr>
              <w:jc w:val="center"/>
              <w:rPr>
                <w:rFonts w:cs="Times New Roman"/>
                <w:sz w:val="22"/>
                <w:szCs w:val="22"/>
                <w:lang w:val="uk-UA"/>
              </w:rPr>
            </w:pPr>
            <w:r>
              <w:rPr>
                <w:rFonts w:cs="Times New Roman"/>
                <w:sz w:val="22"/>
                <w:szCs w:val="22"/>
                <w:lang w:val="uk-UA"/>
              </w:rPr>
              <w:t>х</w:t>
            </w:r>
          </w:p>
        </w:tc>
      </w:tr>
      <w:tr w:rsidR="00CE46FF" w:rsidRPr="007B5FC8" w:rsidTr="00B07213">
        <w:trPr>
          <w:trHeight w:val="405"/>
          <w:jc w:val="center"/>
        </w:trPr>
        <w:tc>
          <w:tcPr>
            <w:tcW w:w="14006" w:type="dxa"/>
            <w:gridSpan w:val="7"/>
            <w:vAlign w:val="center"/>
            <w:hideMark/>
          </w:tcPr>
          <w:p w:rsidR="00CE46FF" w:rsidRPr="00D404F4" w:rsidRDefault="00CE46FF" w:rsidP="007B5FC8">
            <w:pPr>
              <w:jc w:val="center"/>
              <w:rPr>
                <w:rFonts w:cs="Times New Roman"/>
                <w:sz w:val="22"/>
                <w:szCs w:val="22"/>
              </w:rPr>
            </w:pPr>
            <w:r w:rsidRPr="00D404F4">
              <w:rPr>
                <w:rFonts w:cs="Times New Roman"/>
                <w:sz w:val="22"/>
                <w:szCs w:val="22"/>
                <w:u w:val="single"/>
              </w:rPr>
              <w:t>РОЗВИТОК СЕРЕДНЬОГО ТА МАЛОГО ПІДПРИЄМНИЦТВА</w:t>
            </w:r>
          </w:p>
        </w:tc>
      </w:tr>
      <w:tr w:rsidR="00D404F4" w:rsidRPr="007B5FC8" w:rsidTr="006F5925">
        <w:trPr>
          <w:trHeight w:val="834"/>
          <w:jc w:val="center"/>
        </w:trPr>
        <w:tc>
          <w:tcPr>
            <w:tcW w:w="4609" w:type="dxa"/>
            <w:hideMark/>
          </w:tcPr>
          <w:p w:rsidR="00D404F4" w:rsidRPr="00777E72" w:rsidRDefault="00D404F4" w:rsidP="00D404F4">
            <w:pPr>
              <w:jc w:val="both"/>
              <w:rPr>
                <w:rFonts w:cs="Times New Roman"/>
                <w:sz w:val="22"/>
                <w:szCs w:val="22"/>
              </w:rPr>
            </w:pPr>
            <w:r w:rsidRPr="00777E72">
              <w:rPr>
                <w:rFonts w:cs="Times New Roman"/>
                <w:sz w:val="22"/>
                <w:szCs w:val="22"/>
              </w:rPr>
              <w:t xml:space="preserve">Кількість суб'єктів середнього та малого підприємництва у </w:t>
            </w:r>
            <w:proofErr w:type="gramStart"/>
            <w:r w:rsidRPr="00777E72">
              <w:rPr>
                <w:rFonts w:cs="Times New Roman"/>
                <w:sz w:val="22"/>
                <w:szCs w:val="22"/>
              </w:rPr>
              <w:t>розрахунку  на</w:t>
            </w:r>
            <w:proofErr w:type="gramEnd"/>
            <w:r w:rsidRPr="00777E72">
              <w:rPr>
                <w:rFonts w:cs="Times New Roman"/>
                <w:sz w:val="22"/>
                <w:szCs w:val="22"/>
              </w:rPr>
              <w:t xml:space="preserve"> 10 тис. осіб наявного населення</w:t>
            </w:r>
          </w:p>
        </w:tc>
        <w:tc>
          <w:tcPr>
            <w:tcW w:w="1134" w:type="dxa"/>
            <w:vAlign w:val="center"/>
            <w:hideMark/>
          </w:tcPr>
          <w:p w:rsidR="00D404F4" w:rsidRPr="00777E72" w:rsidRDefault="00D404F4" w:rsidP="00D404F4">
            <w:pPr>
              <w:jc w:val="center"/>
              <w:rPr>
                <w:rFonts w:cs="Times New Roman"/>
                <w:sz w:val="22"/>
                <w:szCs w:val="22"/>
              </w:rPr>
            </w:pPr>
            <w:r w:rsidRPr="00777E72">
              <w:rPr>
                <w:rFonts w:cs="Times New Roman"/>
                <w:sz w:val="22"/>
                <w:szCs w:val="22"/>
              </w:rPr>
              <w:t>один.</w:t>
            </w:r>
          </w:p>
        </w:tc>
        <w:tc>
          <w:tcPr>
            <w:tcW w:w="1559" w:type="dxa"/>
            <w:vAlign w:val="center"/>
          </w:tcPr>
          <w:p w:rsidR="00D404F4" w:rsidRPr="00777E72" w:rsidRDefault="00D404F4" w:rsidP="00D404F4">
            <w:pPr>
              <w:jc w:val="center"/>
              <w:rPr>
                <w:rFonts w:cs="Times New Roman"/>
                <w:sz w:val="22"/>
                <w:szCs w:val="22"/>
                <w:lang w:val="uk-UA"/>
              </w:rPr>
            </w:pPr>
            <w:r w:rsidRPr="00777E72">
              <w:rPr>
                <w:rFonts w:cs="Times New Roman"/>
                <w:sz w:val="22"/>
                <w:szCs w:val="22"/>
                <w:lang w:val="uk-UA"/>
              </w:rPr>
              <w:t>138</w:t>
            </w:r>
          </w:p>
        </w:tc>
        <w:tc>
          <w:tcPr>
            <w:tcW w:w="1418" w:type="dxa"/>
            <w:vAlign w:val="center"/>
          </w:tcPr>
          <w:p w:rsidR="00D404F4" w:rsidRPr="00777E72" w:rsidRDefault="00D404F4" w:rsidP="00D404F4">
            <w:pPr>
              <w:jc w:val="center"/>
              <w:rPr>
                <w:rFonts w:cs="Times New Roman"/>
                <w:sz w:val="22"/>
                <w:szCs w:val="22"/>
                <w:lang w:val="uk-UA"/>
              </w:rPr>
            </w:pPr>
            <w:r w:rsidRPr="00777E72">
              <w:rPr>
                <w:rFonts w:cs="Times New Roman"/>
                <w:sz w:val="22"/>
                <w:szCs w:val="22"/>
                <w:lang w:val="uk-UA"/>
              </w:rPr>
              <w:t>149</w:t>
            </w:r>
          </w:p>
        </w:tc>
        <w:tc>
          <w:tcPr>
            <w:tcW w:w="1842" w:type="dxa"/>
            <w:vAlign w:val="center"/>
          </w:tcPr>
          <w:p w:rsidR="00D404F4" w:rsidRPr="00777E72" w:rsidRDefault="00D404F4" w:rsidP="00D404F4">
            <w:pPr>
              <w:jc w:val="center"/>
              <w:rPr>
                <w:rFonts w:cs="Times New Roman"/>
                <w:sz w:val="22"/>
                <w:szCs w:val="22"/>
                <w:lang w:val="uk-UA"/>
              </w:rPr>
            </w:pPr>
            <w:r>
              <w:rPr>
                <w:rFonts w:cs="Times New Roman"/>
                <w:sz w:val="22"/>
                <w:szCs w:val="22"/>
                <w:lang w:val="uk-UA"/>
              </w:rPr>
              <w:t>139</w:t>
            </w:r>
          </w:p>
        </w:tc>
        <w:tc>
          <w:tcPr>
            <w:tcW w:w="1560" w:type="dxa"/>
            <w:vAlign w:val="center"/>
          </w:tcPr>
          <w:p w:rsidR="00D404F4" w:rsidRPr="000733F5" w:rsidRDefault="00D404F4" w:rsidP="00D404F4">
            <w:pPr>
              <w:jc w:val="center"/>
              <w:rPr>
                <w:rFonts w:cs="Times New Roman"/>
                <w:sz w:val="22"/>
                <w:szCs w:val="22"/>
                <w:lang w:val="uk-UA"/>
              </w:rPr>
            </w:pPr>
            <w:r w:rsidRPr="000733F5">
              <w:rPr>
                <w:rFonts w:cs="Times New Roman"/>
                <w:sz w:val="22"/>
                <w:szCs w:val="22"/>
                <w:lang w:val="uk-UA"/>
              </w:rPr>
              <w:t>Дані очікуються у липні</w:t>
            </w:r>
          </w:p>
        </w:tc>
        <w:tc>
          <w:tcPr>
            <w:tcW w:w="1884" w:type="dxa"/>
            <w:vAlign w:val="center"/>
          </w:tcPr>
          <w:p w:rsidR="00D404F4" w:rsidRPr="0041361A" w:rsidRDefault="006D1B6B" w:rsidP="00D404F4">
            <w:pPr>
              <w:jc w:val="center"/>
              <w:rPr>
                <w:rFonts w:cs="Times New Roman"/>
                <w:sz w:val="22"/>
                <w:szCs w:val="22"/>
                <w:lang w:val="uk-UA"/>
              </w:rPr>
            </w:pPr>
            <w:r>
              <w:rPr>
                <w:rFonts w:cs="Times New Roman"/>
                <w:sz w:val="22"/>
                <w:szCs w:val="22"/>
                <w:lang w:val="uk-UA"/>
              </w:rPr>
              <w:t>х</w:t>
            </w:r>
          </w:p>
        </w:tc>
      </w:tr>
      <w:tr w:rsidR="00D404F4" w:rsidRPr="007B5FC8" w:rsidTr="006F5925">
        <w:trPr>
          <w:trHeight w:val="1255"/>
          <w:jc w:val="center"/>
        </w:trPr>
        <w:tc>
          <w:tcPr>
            <w:tcW w:w="4609" w:type="dxa"/>
            <w:hideMark/>
          </w:tcPr>
          <w:p w:rsidR="00D404F4" w:rsidRPr="000733F5" w:rsidRDefault="00D404F4" w:rsidP="00D404F4">
            <w:pPr>
              <w:jc w:val="both"/>
              <w:rPr>
                <w:rFonts w:cs="Times New Roman"/>
                <w:sz w:val="22"/>
                <w:szCs w:val="22"/>
              </w:rPr>
            </w:pPr>
            <w:r w:rsidRPr="000733F5">
              <w:rPr>
                <w:rFonts w:cs="Times New Roman"/>
                <w:sz w:val="22"/>
                <w:szCs w:val="22"/>
              </w:rPr>
              <w:t>Частка обсягу реалізованої продукції (робіт, послуг) суб'єктів середнього та малого підприємництва у загальному обсязі реалізованої продукції (товарів, послуг) суб'єктами господарювання</w:t>
            </w:r>
          </w:p>
        </w:tc>
        <w:tc>
          <w:tcPr>
            <w:tcW w:w="1134" w:type="dxa"/>
            <w:vAlign w:val="center"/>
            <w:hideMark/>
          </w:tcPr>
          <w:p w:rsidR="00D404F4" w:rsidRPr="000733F5" w:rsidRDefault="00D404F4" w:rsidP="00D404F4">
            <w:pPr>
              <w:jc w:val="center"/>
              <w:rPr>
                <w:rFonts w:cs="Times New Roman"/>
                <w:sz w:val="22"/>
                <w:szCs w:val="22"/>
              </w:rPr>
            </w:pPr>
            <w:r w:rsidRPr="000733F5">
              <w:rPr>
                <w:rFonts w:cs="Times New Roman"/>
                <w:sz w:val="22"/>
                <w:szCs w:val="22"/>
              </w:rPr>
              <w:t>%</w:t>
            </w:r>
          </w:p>
        </w:tc>
        <w:tc>
          <w:tcPr>
            <w:tcW w:w="1559" w:type="dxa"/>
            <w:vAlign w:val="center"/>
          </w:tcPr>
          <w:p w:rsidR="00D404F4" w:rsidRPr="000733F5" w:rsidRDefault="00D404F4" w:rsidP="00D404F4">
            <w:pPr>
              <w:jc w:val="center"/>
              <w:rPr>
                <w:rFonts w:cs="Times New Roman"/>
                <w:sz w:val="22"/>
                <w:szCs w:val="22"/>
                <w:lang w:val="uk-UA"/>
              </w:rPr>
            </w:pPr>
            <w:r w:rsidRPr="000733F5">
              <w:rPr>
                <w:rFonts w:cs="Times New Roman"/>
                <w:sz w:val="22"/>
                <w:szCs w:val="22"/>
                <w:lang w:val="uk-UA"/>
              </w:rPr>
              <w:t>х</w:t>
            </w:r>
          </w:p>
        </w:tc>
        <w:tc>
          <w:tcPr>
            <w:tcW w:w="1418" w:type="dxa"/>
            <w:vAlign w:val="center"/>
          </w:tcPr>
          <w:p w:rsidR="00D404F4" w:rsidRPr="000733F5" w:rsidRDefault="00D404F4" w:rsidP="00D404F4">
            <w:pPr>
              <w:jc w:val="center"/>
              <w:rPr>
                <w:rFonts w:cs="Times New Roman"/>
                <w:sz w:val="22"/>
                <w:szCs w:val="22"/>
                <w:lang w:val="uk-UA"/>
              </w:rPr>
            </w:pPr>
            <w:r w:rsidRPr="000733F5">
              <w:rPr>
                <w:rFonts w:cs="Times New Roman"/>
                <w:sz w:val="22"/>
                <w:szCs w:val="22"/>
                <w:lang w:val="uk-UA"/>
              </w:rPr>
              <w:t>49,9%</w:t>
            </w:r>
          </w:p>
        </w:tc>
        <w:tc>
          <w:tcPr>
            <w:tcW w:w="1842" w:type="dxa"/>
            <w:vAlign w:val="center"/>
          </w:tcPr>
          <w:p w:rsidR="00D404F4" w:rsidRPr="000733F5" w:rsidRDefault="00D404F4" w:rsidP="00D404F4">
            <w:pPr>
              <w:jc w:val="center"/>
              <w:rPr>
                <w:sz w:val="22"/>
                <w:szCs w:val="22"/>
                <w:lang w:val="uk-UA"/>
              </w:rPr>
            </w:pPr>
            <w:r w:rsidRPr="000733F5">
              <w:rPr>
                <w:sz w:val="22"/>
                <w:szCs w:val="22"/>
                <w:lang w:val="uk-UA"/>
              </w:rPr>
              <w:t>74%</w:t>
            </w:r>
          </w:p>
        </w:tc>
        <w:tc>
          <w:tcPr>
            <w:tcW w:w="1560" w:type="dxa"/>
            <w:vAlign w:val="center"/>
          </w:tcPr>
          <w:p w:rsidR="00D404F4" w:rsidRPr="000733F5" w:rsidRDefault="00D404F4" w:rsidP="00D404F4">
            <w:pPr>
              <w:jc w:val="center"/>
              <w:rPr>
                <w:rFonts w:cs="Times New Roman"/>
                <w:sz w:val="22"/>
                <w:szCs w:val="22"/>
                <w:lang w:val="uk-UA"/>
              </w:rPr>
            </w:pPr>
            <w:r w:rsidRPr="000733F5">
              <w:rPr>
                <w:rFonts w:cs="Times New Roman"/>
                <w:sz w:val="22"/>
                <w:szCs w:val="22"/>
                <w:lang w:val="uk-UA"/>
              </w:rPr>
              <w:t>Дані очікуються у липні</w:t>
            </w:r>
          </w:p>
        </w:tc>
        <w:tc>
          <w:tcPr>
            <w:tcW w:w="1884" w:type="dxa"/>
            <w:vAlign w:val="center"/>
          </w:tcPr>
          <w:p w:rsidR="00D404F4" w:rsidRPr="000733F5" w:rsidRDefault="006D1B6B" w:rsidP="00D404F4">
            <w:pPr>
              <w:jc w:val="center"/>
              <w:rPr>
                <w:rFonts w:cs="Times New Roman"/>
                <w:sz w:val="22"/>
                <w:szCs w:val="22"/>
                <w:lang w:val="uk-UA"/>
              </w:rPr>
            </w:pPr>
            <w:r>
              <w:rPr>
                <w:rFonts w:cs="Times New Roman"/>
                <w:sz w:val="22"/>
                <w:szCs w:val="22"/>
                <w:lang w:val="uk-UA"/>
              </w:rPr>
              <w:t>х</w:t>
            </w:r>
          </w:p>
        </w:tc>
      </w:tr>
      <w:tr w:rsidR="00D404F4" w:rsidRPr="007B5FC8" w:rsidTr="006F5925">
        <w:trPr>
          <w:trHeight w:val="834"/>
          <w:jc w:val="center"/>
        </w:trPr>
        <w:tc>
          <w:tcPr>
            <w:tcW w:w="4609" w:type="dxa"/>
            <w:hideMark/>
          </w:tcPr>
          <w:p w:rsidR="00D404F4" w:rsidRPr="000733F5" w:rsidRDefault="00D404F4" w:rsidP="00D404F4">
            <w:pPr>
              <w:jc w:val="both"/>
              <w:rPr>
                <w:rFonts w:cs="Times New Roman"/>
                <w:sz w:val="22"/>
                <w:szCs w:val="22"/>
              </w:rPr>
            </w:pPr>
            <w:r w:rsidRPr="000733F5">
              <w:rPr>
                <w:rFonts w:cs="Times New Roman"/>
                <w:sz w:val="22"/>
                <w:szCs w:val="22"/>
              </w:rPr>
              <w:lastRenderedPageBreak/>
              <w:t>Кількість зайнятих працівників у середньому та малому підприємництві</w:t>
            </w:r>
          </w:p>
        </w:tc>
        <w:tc>
          <w:tcPr>
            <w:tcW w:w="1134" w:type="dxa"/>
            <w:vAlign w:val="center"/>
            <w:hideMark/>
          </w:tcPr>
          <w:p w:rsidR="00D404F4" w:rsidRPr="000733F5" w:rsidRDefault="00D404F4" w:rsidP="00D404F4">
            <w:pPr>
              <w:jc w:val="center"/>
              <w:rPr>
                <w:rFonts w:cs="Times New Roman"/>
                <w:sz w:val="22"/>
                <w:szCs w:val="22"/>
              </w:rPr>
            </w:pPr>
            <w:r w:rsidRPr="000733F5">
              <w:rPr>
                <w:rFonts w:cs="Times New Roman"/>
                <w:sz w:val="22"/>
                <w:szCs w:val="22"/>
              </w:rPr>
              <w:t>тис.осіб</w:t>
            </w:r>
          </w:p>
        </w:tc>
        <w:tc>
          <w:tcPr>
            <w:tcW w:w="1559" w:type="dxa"/>
            <w:vAlign w:val="center"/>
          </w:tcPr>
          <w:p w:rsidR="00D404F4" w:rsidRPr="000733F5" w:rsidRDefault="00D404F4" w:rsidP="00D404F4">
            <w:pPr>
              <w:jc w:val="center"/>
              <w:rPr>
                <w:rFonts w:cs="Times New Roman"/>
                <w:sz w:val="22"/>
                <w:szCs w:val="22"/>
                <w:lang w:val="uk-UA"/>
              </w:rPr>
            </w:pPr>
            <w:r w:rsidRPr="000733F5">
              <w:rPr>
                <w:rFonts w:cs="Times New Roman"/>
                <w:sz w:val="22"/>
                <w:szCs w:val="22"/>
                <w:lang w:val="uk-UA"/>
              </w:rPr>
              <w:t>х</w:t>
            </w:r>
          </w:p>
        </w:tc>
        <w:tc>
          <w:tcPr>
            <w:tcW w:w="1418" w:type="dxa"/>
            <w:vAlign w:val="center"/>
          </w:tcPr>
          <w:p w:rsidR="00D404F4" w:rsidRPr="000733F5" w:rsidRDefault="00D404F4" w:rsidP="00D404F4">
            <w:pPr>
              <w:jc w:val="center"/>
              <w:rPr>
                <w:rFonts w:cs="Times New Roman"/>
                <w:sz w:val="22"/>
                <w:szCs w:val="22"/>
                <w:lang w:val="uk-UA"/>
              </w:rPr>
            </w:pPr>
            <w:r w:rsidRPr="000733F5">
              <w:rPr>
                <w:rFonts w:cs="Times New Roman"/>
                <w:sz w:val="22"/>
                <w:szCs w:val="22"/>
                <w:lang w:val="uk-UA"/>
              </w:rPr>
              <w:t>41 106</w:t>
            </w:r>
          </w:p>
        </w:tc>
        <w:tc>
          <w:tcPr>
            <w:tcW w:w="1842" w:type="dxa"/>
            <w:vAlign w:val="center"/>
          </w:tcPr>
          <w:p w:rsidR="00D404F4" w:rsidRPr="000733F5" w:rsidRDefault="00D404F4" w:rsidP="00D404F4">
            <w:pPr>
              <w:jc w:val="center"/>
              <w:rPr>
                <w:sz w:val="22"/>
                <w:szCs w:val="22"/>
              </w:rPr>
            </w:pPr>
            <w:r w:rsidRPr="000733F5">
              <w:rPr>
                <w:sz w:val="22"/>
                <w:szCs w:val="22"/>
              </w:rPr>
              <w:t>134</w:t>
            </w:r>
          </w:p>
        </w:tc>
        <w:tc>
          <w:tcPr>
            <w:tcW w:w="1560" w:type="dxa"/>
            <w:vAlign w:val="center"/>
          </w:tcPr>
          <w:p w:rsidR="00D404F4" w:rsidRPr="000733F5" w:rsidRDefault="00D404F4" w:rsidP="00D404F4">
            <w:pPr>
              <w:jc w:val="center"/>
              <w:rPr>
                <w:rFonts w:cs="Times New Roman"/>
                <w:sz w:val="22"/>
                <w:szCs w:val="22"/>
                <w:lang w:val="uk-UA"/>
              </w:rPr>
            </w:pPr>
            <w:r w:rsidRPr="000733F5">
              <w:rPr>
                <w:rFonts w:cs="Times New Roman"/>
                <w:sz w:val="22"/>
                <w:szCs w:val="22"/>
                <w:lang w:val="uk-UA"/>
              </w:rPr>
              <w:t>Дані очікуються у липні</w:t>
            </w:r>
          </w:p>
        </w:tc>
        <w:tc>
          <w:tcPr>
            <w:tcW w:w="1884" w:type="dxa"/>
            <w:vAlign w:val="center"/>
          </w:tcPr>
          <w:p w:rsidR="00D404F4" w:rsidRPr="006D1B6B" w:rsidRDefault="006D1B6B" w:rsidP="00D404F4">
            <w:pPr>
              <w:jc w:val="center"/>
              <w:rPr>
                <w:rFonts w:cs="Times New Roman"/>
                <w:sz w:val="22"/>
                <w:szCs w:val="22"/>
                <w:lang w:val="uk-UA"/>
              </w:rPr>
            </w:pPr>
            <w:r>
              <w:rPr>
                <w:rFonts w:cs="Times New Roman"/>
                <w:sz w:val="22"/>
                <w:szCs w:val="22"/>
                <w:lang w:val="uk-UA"/>
              </w:rPr>
              <w:t>х</w:t>
            </w:r>
          </w:p>
        </w:tc>
      </w:tr>
      <w:tr w:rsidR="00D404F4" w:rsidRPr="007B5FC8" w:rsidTr="0041361A">
        <w:trPr>
          <w:trHeight w:val="549"/>
          <w:jc w:val="center"/>
        </w:trPr>
        <w:tc>
          <w:tcPr>
            <w:tcW w:w="4609" w:type="dxa"/>
            <w:hideMark/>
          </w:tcPr>
          <w:p w:rsidR="00D404F4" w:rsidRPr="000733F5" w:rsidRDefault="00D404F4" w:rsidP="00D404F4">
            <w:pPr>
              <w:jc w:val="both"/>
              <w:rPr>
                <w:rFonts w:cs="Times New Roman"/>
                <w:sz w:val="22"/>
                <w:szCs w:val="22"/>
              </w:rPr>
            </w:pPr>
            <w:r w:rsidRPr="000733F5">
              <w:rPr>
                <w:rFonts w:cs="Times New Roman"/>
                <w:sz w:val="22"/>
                <w:szCs w:val="22"/>
              </w:rPr>
              <w:t>Кількість малих підприємств у розрахунку на 10 тис. осіб наявного населення</w:t>
            </w:r>
          </w:p>
        </w:tc>
        <w:tc>
          <w:tcPr>
            <w:tcW w:w="1134" w:type="dxa"/>
            <w:vAlign w:val="center"/>
            <w:hideMark/>
          </w:tcPr>
          <w:p w:rsidR="00D404F4" w:rsidRPr="000733F5" w:rsidRDefault="00D404F4" w:rsidP="00D404F4">
            <w:pPr>
              <w:jc w:val="center"/>
              <w:rPr>
                <w:rFonts w:cs="Times New Roman"/>
                <w:sz w:val="22"/>
                <w:szCs w:val="22"/>
              </w:rPr>
            </w:pPr>
            <w:r w:rsidRPr="000733F5">
              <w:rPr>
                <w:rFonts w:cs="Times New Roman"/>
                <w:sz w:val="22"/>
                <w:szCs w:val="22"/>
              </w:rPr>
              <w:t>одиниць</w:t>
            </w:r>
          </w:p>
        </w:tc>
        <w:tc>
          <w:tcPr>
            <w:tcW w:w="1559" w:type="dxa"/>
            <w:vAlign w:val="center"/>
          </w:tcPr>
          <w:p w:rsidR="00D404F4" w:rsidRPr="000733F5" w:rsidRDefault="00D404F4" w:rsidP="00D404F4">
            <w:pPr>
              <w:jc w:val="center"/>
              <w:rPr>
                <w:rFonts w:cs="Times New Roman"/>
                <w:sz w:val="22"/>
                <w:szCs w:val="22"/>
              </w:rPr>
            </w:pPr>
            <w:r w:rsidRPr="000733F5">
              <w:rPr>
                <w:rFonts w:cs="Times New Roman"/>
                <w:sz w:val="22"/>
                <w:szCs w:val="22"/>
              </w:rPr>
              <w:t>133</w:t>
            </w:r>
          </w:p>
        </w:tc>
        <w:tc>
          <w:tcPr>
            <w:tcW w:w="1418" w:type="dxa"/>
            <w:vAlign w:val="center"/>
          </w:tcPr>
          <w:p w:rsidR="00D404F4" w:rsidRPr="000733F5" w:rsidRDefault="00D404F4" w:rsidP="00D404F4">
            <w:pPr>
              <w:jc w:val="center"/>
              <w:rPr>
                <w:rFonts w:cs="Times New Roman"/>
                <w:sz w:val="22"/>
                <w:szCs w:val="22"/>
                <w:lang w:val="uk-UA"/>
              </w:rPr>
            </w:pPr>
            <w:r w:rsidRPr="000733F5">
              <w:rPr>
                <w:rFonts w:cs="Times New Roman"/>
                <w:sz w:val="22"/>
                <w:szCs w:val="22"/>
                <w:lang w:val="uk-UA"/>
              </w:rPr>
              <w:t>144</w:t>
            </w:r>
          </w:p>
        </w:tc>
        <w:tc>
          <w:tcPr>
            <w:tcW w:w="1842" w:type="dxa"/>
            <w:vAlign w:val="center"/>
            <w:hideMark/>
          </w:tcPr>
          <w:p w:rsidR="00D404F4" w:rsidRPr="000733F5" w:rsidRDefault="00D404F4" w:rsidP="00D404F4">
            <w:pPr>
              <w:jc w:val="center"/>
              <w:rPr>
                <w:sz w:val="22"/>
                <w:szCs w:val="22"/>
              </w:rPr>
            </w:pPr>
            <w:r w:rsidRPr="000733F5">
              <w:rPr>
                <w:sz w:val="22"/>
                <w:szCs w:val="22"/>
              </w:rPr>
              <w:t>14 583 196</w:t>
            </w:r>
          </w:p>
        </w:tc>
        <w:tc>
          <w:tcPr>
            <w:tcW w:w="1560" w:type="dxa"/>
            <w:vAlign w:val="center"/>
          </w:tcPr>
          <w:p w:rsidR="00D404F4" w:rsidRPr="000733F5" w:rsidRDefault="00D404F4" w:rsidP="00D404F4">
            <w:pPr>
              <w:jc w:val="center"/>
              <w:rPr>
                <w:rFonts w:cs="Times New Roman"/>
                <w:sz w:val="22"/>
                <w:szCs w:val="22"/>
                <w:lang w:val="uk-UA"/>
              </w:rPr>
            </w:pPr>
            <w:r w:rsidRPr="000733F5">
              <w:rPr>
                <w:rFonts w:cs="Times New Roman"/>
                <w:sz w:val="22"/>
                <w:szCs w:val="22"/>
                <w:lang w:val="uk-UA"/>
              </w:rPr>
              <w:t>Дані очікуються у липні</w:t>
            </w:r>
          </w:p>
        </w:tc>
        <w:tc>
          <w:tcPr>
            <w:tcW w:w="1884" w:type="dxa"/>
            <w:vAlign w:val="center"/>
            <w:hideMark/>
          </w:tcPr>
          <w:p w:rsidR="00D404F4" w:rsidRPr="000733F5" w:rsidRDefault="00D404F4" w:rsidP="00D404F4">
            <w:pPr>
              <w:jc w:val="center"/>
              <w:rPr>
                <w:rFonts w:cs="Times New Roman"/>
                <w:sz w:val="22"/>
                <w:szCs w:val="22"/>
              </w:rPr>
            </w:pPr>
            <w:r w:rsidRPr="000733F5">
              <w:rPr>
                <w:rFonts w:cs="Times New Roman"/>
                <w:sz w:val="22"/>
                <w:szCs w:val="22"/>
              </w:rPr>
              <w:t>х</w:t>
            </w:r>
          </w:p>
        </w:tc>
      </w:tr>
      <w:tr w:rsidR="00D404F4" w:rsidRPr="007B5FC8" w:rsidTr="00435E81">
        <w:trPr>
          <w:trHeight w:val="982"/>
          <w:jc w:val="center"/>
        </w:trPr>
        <w:tc>
          <w:tcPr>
            <w:tcW w:w="4609" w:type="dxa"/>
            <w:hideMark/>
          </w:tcPr>
          <w:p w:rsidR="00D404F4" w:rsidRPr="000733F5" w:rsidRDefault="00D404F4" w:rsidP="00D404F4">
            <w:pPr>
              <w:jc w:val="both"/>
              <w:rPr>
                <w:rFonts w:cs="Times New Roman"/>
                <w:sz w:val="22"/>
                <w:szCs w:val="22"/>
              </w:rPr>
            </w:pPr>
            <w:r w:rsidRPr="000733F5">
              <w:rPr>
                <w:rFonts w:cs="Times New Roman"/>
                <w:sz w:val="22"/>
                <w:szCs w:val="22"/>
              </w:rPr>
              <w:t>Частка обсягу реалізованої продукції (робіт, послуг) малих підприємств у загальному обсязі реалізованої продукції (товарів, послуг) субєктами господарювання</w:t>
            </w:r>
          </w:p>
        </w:tc>
        <w:tc>
          <w:tcPr>
            <w:tcW w:w="1134" w:type="dxa"/>
            <w:vAlign w:val="center"/>
            <w:hideMark/>
          </w:tcPr>
          <w:p w:rsidR="00D404F4" w:rsidRPr="000733F5" w:rsidRDefault="00D404F4" w:rsidP="00D404F4">
            <w:pPr>
              <w:jc w:val="center"/>
              <w:rPr>
                <w:rFonts w:cs="Times New Roman"/>
                <w:sz w:val="22"/>
                <w:szCs w:val="22"/>
              </w:rPr>
            </w:pPr>
            <w:r w:rsidRPr="000733F5">
              <w:rPr>
                <w:rFonts w:cs="Times New Roman"/>
                <w:sz w:val="22"/>
                <w:szCs w:val="22"/>
              </w:rPr>
              <w:t>%</w:t>
            </w:r>
          </w:p>
        </w:tc>
        <w:tc>
          <w:tcPr>
            <w:tcW w:w="1559" w:type="dxa"/>
            <w:vAlign w:val="center"/>
          </w:tcPr>
          <w:p w:rsidR="00D404F4" w:rsidRPr="000733F5" w:rsidRDefault="00D404F4" w:rsidP="00D404F4">
            <w:pPr>
              <w:jc w:val="center"/>
              <w:rPr>
                <w:rFonts w:cs="Times New Roman"/>
                <w:sz w:val="22"/>
                <w:szCs w:val="22"/>
              </w:rPr>
            </w:pPr>
            <w:r w:rsidRPr="000733F5">
              <w:rPr>
                <w:rFonts w:cs="Times New Roman"/>
                <w:sz w:val="22"/>
                <w:szCs w:val="22"/>
              </w:rPr>
              <w:t>28</w:t>
            </w:r>
          </w:p>
        </w:tc>
        <w:tc>
          <w:tcPr>
            <w:tcW w:w="1418" w:type="dxa"/>
            <w:vAlign w:val="center"/>
          </w:tcPr>
          <w:p w:rsidR="00D404F4" w:rsidRPr="000733F5" w:rsidRDefault="00D404F4" w:rsidP="00D404F4">
            <w:pPr>
              <w:jc w:val="center"/>
              <w:rPr>
                <w:rFonts w:cs="Times New Roman"/>
                <w:sz w:val="22"/>
                <w:szCs w:val="22"/>
                <w:lang w:val="uk-UA"/>
              </w:rPr>
            </w:pPr>
            <w:r w:rsidRPr="000733F5">
              <w:rPr>
                <w:rFonts w:cs="Times New Roman"/>
                <w:sz w:val="22"/>
                <w:szCs w:val="22"/>
                <w:lang w:val="uk-UA"/>
              </w:rPr>
              <w:t>28,6</w:t>
            </w:r>
          </w:p>
        </w:tc>
        <w:tc>
          <w:tcPr>
            <w:tcW w:w="1842" w:type="dxa"/>
            <w:vAlign w:val="center"/>
            <w:hideMark/>
          </w:tcPr>
          <w:p w:rsidR="00D404F4" w:rsidRPr="000733F5" w:rsidRDefault="00D404F4" w:rsidP="00D404F4">
            <w:pPr>
              <w:jc w:val="center"/>
              <w:rPr>
                <w:sz w:val="22"/>
                <w:szCs w:val="22"/>
              </w:rPr>
            </w:pPr>
            <w:r w:rsidRPr="000733F5">
              <w:rPr>
                <w:sz w:val="22"/>
                <w:szCs w:val="22"/>
              </w:rPr>
              <w:t>19</w:t>
            </w:r>
          </w:p>
        </w:tc>
        <w:tc>
          <w:tcPr>
            <w:tcW w:w="1560" w:type="dxa"/>
            <w:vAlign w:val="center"/>
          </w:tcPr>
          <w:p w:rsidR="00D404F4" w:rsidRPr="000733F5" w:rsidRDefault="00D404F4" w:rsidP="00D404F4">
            <w:pPr>
              <w:jc w:val="center"/>
              <w:rPr>
                <w:rFonts w:cs="Times New Roman"/>
                <w:sz w:val="22"/>
                <w:szCs w:val="22"/>
                <w:lang w:val="uk-UA"/>
              </w:rPr>
            </w:pPr>
            <w:r w:rsidRPr="000733F5">
              <w:rPr>
                <w:rFonts w:cs="Times New Roman"/>
                <w:sz w:val="22"/>
                <w:szCs w:val="22"/>
                <w:lang w:val="uk-UA"/>
              </w:rPr>
              <w:t>Дані очікуються у липні</w:t>
            </w:r>
          </w:p>
        </w:tc>
        <w:tc>
          <w:tcPr>
            <w:tcW w:w="1884" w:type="dxa"/>
            <w:vAlign w:val="center"/>
            <w:hideMark/>
          </w:tcPr>
          <w:p w:rsidR="00D404F4" w:rsidRPr="000733F5" w:rsidRDefault="00D404F4" w:rsidP="00D404F4">
            <w:pPr>
              <w:jc w:val="center"/>
              <w:rPr>
                <w:rFonts w:cs="Times New Roman"/>
                <w:sz w:val="22"/>
                <w:szCs w:val="22"/>
              </w:rPr>
            </w:pPr>
            <w:r w:rsidRPr="000733F5">
              <w:rPr>
                <w:rFonts w:cs="Times New Roman"/>
                <w:sz w:val="22"/>
                <w:szCs w:val="22"/>
              </w:rPr>
              <w:t>х</w:t>
            </w:r>
          </w:p>
        </w:tc>
      </w:tr>
      <w:tr w:rsidR="00D404F4" w:rsidRPr="007B5FC8" w:rsidTr="00435E81">
        <w:trPr>
          <w:trHeight w:val="529"/>
          <w:jc w:val="center"/>
        </w:trPr>
        <w:tc>
          <w:tcPr>
            <w:tcW w:w="4609" w:type="dxa"/>
            <w:hideMark/>
          </w:tcPr>
          <w:p w:rsidR="00D404F4" w:rsidRPr="000733F5" w:rsidRDefault="00D404F4" w:rsidP="00D404F4">
            <w:pPr>
              <w:jc w:val="both"/>
              <w:rPr>
                <w:rFonts w:cs="Times New Roman"/>
                <w:sz w:val="22"/>
                <w:szCs w:val="22"/>
              </w:rPr>
            </w:pPr>
            <w:r w:rsidRPr="000733F5">
              <w:rPr>
                <w:rFonts w:cs="Times New Roman"/>
                <w:sz w:val="22"/>
                <w:szCs w:val="22"/>
              </w:rPr>
              <w:t>Кількість зайнятих працівників на малих підприємствах</w:t>
            </w:r>
          </w:p>
        </w:tc>
        <w:tc>
          <w:tcPr>
            <w:tcW w:w="1134" w:type="dxa"/>
            <w:vAlign w:val="center"/>
            <w:hideMark/>
          </w:tcPr>
          <w:p w:rsidR="00D404F4" w:rsidRPr="000733F5" w:rsidRDefault="00D404F4" w:rsidP="00D404F4">
            <w:pPr>
              <w:jc w:val="center"/>
              <w:rPr>
                <w:rFonts w:cs="Times New Roman"/>
                <w:sz w:val="22"/>
                <w:szCs w:val="22"/>
              </w:rPr>
            </w:pPr>
            <w:r w:rsidRPr="000733F5">
              <w:rPr>
                <w:rFonts w:cs="Times New Roman"/>
                <w:sz w:val="22"/>
                <w:szCs w:val="22"/>
              </w:rPr>
              <w:t>тис. осіб</w:t>
            </w:r>
          </w:p>
        </w:tc>
        <w:tc>
          <w:tcPr>
            <w:tcW w:w="1559" w:type="dxa"/>
            <w:vAlign w:val="center"/>
          </w:tcPr>
          <w:p w:rsidR="00D404F4" w:rsidRPr="000733F5" w:rsidRDefault="00D404F4" w:rsidP="00D404F4">
            <w:pPr>
              <w:jc w:val="center"/>
              <w:rPr>
                <w:rFonts w:cs="Times New Roman"/>
                <w:sz w:val="22"/>
                <w:szCs w:val="22"/>
                <w:lang w:val="uk-UA"/>
              </w:rPr>
            </w:pPr>
            <w:r w:rsidRPr="000733F5">
              <w:rPr>
                <w:rFonts w:cs="Times New Roman"/>
                <w:sz w:val="22"/>
                <w:szCs w:val="22"/>
                <w:lang w:val="uk-UA"/>
              </w:rPr>
              <w:t>16,1</w:t>
            </w:r>
          </w:p>
        </w:tc>
        <w:tc>
          <w:tcPr>
            <w:tcW w:w="1418" w:type="dxa"/>
            <w:vAlign w:val="center"/>
          </w:tcPr>
          <w:p w:rsidR="00D404F4" w:rsidRPr="000733F5" w:rsidRDefault="00D404F4" w:rsidP="00D404F4">
            <w:pPr>
              <w:jc w:val="center"/>
              <w:rPr>
                <w:rFonts w:cs="Times New Roman"/>
                <w:sz w:val="22"/>
                <w:szCs w:val="22"/>
                <w:lang w:val="uk-UA"/>
              </w:rPr>
            </w:pPr>
            <w:r w:rsidRPr="000733F5">
              <w:rPr>
                <w:rFonts w:cs="Times New Roman"/>
                <w:sz w:val="22"/>
                <w:szCs w:val="22"/>
                <w:lang w:val="uk-UA"/>
              </w:rPr>
              <w:t>15,9</w:t>
            </w:r>
          </w:p>
        </w:tc>
        <w:tc>
          <w:tcPr>
            <w:tcW w:w="1842" w:type="dxa"/>
            <w:vAlign w:val="center"/>
            <w:hideMark/>
          </w:tcPr>
          <w:p w:rsidR="00D404F4" w:rsidRPr="000733F5" w:rsidRDefault="00D404F4" w:rsidP="00D404F4">
            <w:pPr>
              <w:jc w:val="center"/>
              <w:rPr>
                <w:sz w:val="22"/>
                <w:szCs w:val="22"/>
              </w:rPr>
            </w:pPr>
            <w:r w:rsidRPr="000733F5">
              <w:rPr>
                <w:sz w:val="22"/>
                <w:szCs w:val="22"/>
              </w:rPr>
              <w:t>413 024</w:t>
            </w:r>
          </w:p>
        </w:tc>
        <w:tc>
          <w:tcPr>
            <w:tcW w:w="1560" w:type="dxa"/>
            <w:vAlign w:val="center"/>
          </w:tcPr>
          <w:p w:rsidR="00D404F4" w:rsidRPr="000733F5" w:rsidRDefault="00D404F4" w:rsidP="00D404F4">
            <w:pPr>
              <w:jc w:val="center"/>
              <w:rPr>
                <w:rFonts w:cs="Times New Roman"/>
                <w:sz w:val="22"/>
                <w:szCs w:val="22"/>
                <w:lang w:val="uk-UA"/>
              </w:rPr>
            </w:pPr>
            <w:r w:rsidRPr="000733F5">
              <w:rPr>
                <w:rFonts w:cs="Times New Roman"/>
                <w:sz w:val="22"/>
                <w:szCs w:val="22"/>
                <w:lang w:val="uk-UA"/>
              </w:rPr>
              <w:t>Дані очікуються у липні</w:t>
            </w:r>
          </w:p>
        </w:tc>
        <w:tc>
          <w:tcPr>
            <w:tcW w:w="1884" w:type="dxa"/>
            <w:vAlign w:val="center"/>
            <w:hideMark/>
          </w:tcPr>
          <w:p w:rsidR="00D404F4" w:rsidRPr="000733F5" w:rsidRDefault="00D404F4" w:rsidP="00D404F4">
            <w:pPr>
              <w:jc w:val="center"/>
              <w:rPr>
                <w:rFonts w:cs="Times New Roman"/>
                <w:sz w:val="22"/>
                <w:szCs w:val="22"/>
              </w:rPr>
            </w:pPr>
            <w:r w:rsidRPr="000733F5">
              <w:rPr>
                <w:rFonts w:cs="Times New Roman"/>
                <w:sz w:val="22"/>
                <w:szCs w:val="22"/>
              </w:rPr>
              <w:t>х</w:t>
            </w:r>
          </w:p>
        </w:tc>
      </w:tr>
      <w:tr w:rsidR="00D404F4" w:rsidRPr="007B5FC8" w:rsidTr="00435E81">
        <w:trPr>
          <w:trHeight w:val="553"/>
          <w:jc w:val="center"/>
        </w:trPr>
        <w:tc>
          <w:tcPr>
            <w:tcW w:w="4609" w:type="dxa"/>
            <w:hideMark/>
          </w:tcPr>
          <w:p w:rsidR="00D404F4" w:rsidRPr="000733F5" w:rsidRDefault="00D404F4" w:rsidP="00D404F4">
            <w:pPr>
              <w:jc w:val="both"/>
              <w:rPr>
                <w:rFonts w:cs="Times New Roman"/>
                <w:sz w:val="22"/>
                <w:szCs w:val="22"/>
              </w:rPr>
            </w:pPr>
            <w:r w:rsidRPr="000733F5">
              <w:rPr>
                <w:rFonts w:cs="Times New Roman"/>
                <w:sz w:val="22"/>
                <w:szCs w:val="22"/>
              </w:rPr>
              <w:t>Фінансовий результат малих підприємств до оподаткування, всього</w:t>
            </w:r>
          </w:p>
        </w:tc>
        <w:tc>
          <w:tcPr>
            <w:tcW w:w="1134" w:type="dxa"/>
            <w:vAlign w:val="center"/>
            <w:hideMark/>
          </w:tcPr>
          <w:p w:rsidR="00D404F4" w:rsidRPr="000733F5" w:rsidRDefault="00D404F4" w:rsidP="00D404F4">
            <w:pPr>
              <w:jc w:val="center"/>
              <w:rPr>
                <w:rFonts w:cs="Times New Roman"/>
                <w:sz w:val="22"/>
                <w:szCs w:val="22"/>
              </w:rPr>
            </w:pPr>
            <w:r w:rsidRPr="000733F5">
              <w:rPr>
                <w:rFonts w:cs="Times New Roman"/>
                <w:sz w:val="22"/>
                <w:szCs w:val="22"/>
              </w:rPr>
              <w:t>тис. грн.</w:t>
            </w:r>
          </w:p>
        </w:tc>
        <w:tc>
          <w:tcPr>
            <w:tcW w:w="1559" w:type="dxa"/>
            <w:vAlign w:val="center"/>
          </w:tcPr>
          <w:p w:rsidR="00D404F4" w:rsidRPr="000733F5" w:rsidRDefault="00D404F4" w:rsidP="00D404F4">
            <w:pPr>
              <w:jc w:val="center"/>
              <w:rPr>
                <w:rFonts w:cs="Times New Roman"/>
                <w:sz w:val="22"/>
                <w:szCs w:val="22"/>
              </w:rPr>
            </w:pPr>
            <w:r w:rsidRPr="000733F5">
              <w:rPr>
                <w:rFonts w:cs="Times New Roman"/>
                <w:sz w:val="22"/>
                <w:szCs w:val="22"/>
              </w:rPr>
              <w:t>371 090,8</w:t>
            </w:r>
          </w:p>
        </w:tc>
        <w:tc>
          <w:tcPr>
            <w:tcW w:w="1418" w:type="dxa"/>
            <w:vAlign w:val="center"/>
          </w:tcPr>
          <w:p w:rsidR="00D404F4" w:rsidRPr="000733F5" w:rsidRDefault="00D404F4" w:rsidP="00D404F4">
            <w:pPr>
              <w:jc w:val="center"/>
              <w:rPr>
                <w:rFonts w:cs="Times New Roman"/>
                <w:sz w:val="22"/>
                <w:szCs w:val="22"/>
              </w:rPr>
            </w:pPr>
          </w:p>
        </w:tc>
        <w:tc>
          <w:tcPr>
            <w:tcW w:w="1842" w:type="dxa"/>
            <w:vAlign w:val="center"/>
            <w:hideMark/>
          </w:tcPr>
          <w:p w:rsidR="00D404F4" w:rsidRPr="000733F5" w:rsidRDefault="00D404F4" w:rsidP="00D404F4">
            <w:pPr>
              <w:jc w:val="center"/>
              <w:rPr>
                <w:sz w:val="22"/>
                <w:szCs w:val="22"/>
              </w:rPr>
            </w:pPr>
            <w:r w:rsidRPr="000733F5">
              <w:rPr>
                <w:sz w:val="22"/>
                <w:szCs w:val="22"/>
              </w:rPr>
              <w:t>31 780 691</w:t>
            </w:r>
          </w:p>
        </w:tc>
        <w:tc>
          <w:tcPr>
            <w:tcW w:w="1560" w:type="dxa"/>
            <w:vAlign w:val="center"/>
          </w:tcPr>
          <w:p w:rsidR="00D404F4" w:rsidRPr="000733F5" w:rsidRDefault="00D404F4" w:rsidP="00D404F4">
            <w:pPr>
              <w:jc w:val="center"/>
              <w:rPr>
                <w:rFonts w:cs="Times New Roman"/>
                <w:sz w:val="22"/>
                <w:szCs w:val="22"/>
                <w:lang w:val="uk-UA"/>
              </w:rPr>
            </w:pPr>
            <w:r w:rsidRPr="000733F5">
              <w:rPr>
                <w:rFonts w:cs="Times New Roman"/>
                <w:sz w:val="22"/>
                <w:szCs w:val="22"/>
                <w:lang w:val="uk-UA"/>
              </w:rPr>
              <w:t>Дані очікуються у липні</w:t>
            </w:r>
          </w:p>
        </w:tc>
        <w:tc>
          <w:tcPr>
            <w:tcW w:w="1884" w:type="dxa"/>
            <w:vAlign w:val="center"/>
            <w:hideMark/>
          </w:tcPr>
          <w:p w:rsidR="00D404F4" w:rsidRPr="000733F5" w:rsidRDefault="00D404F4" w:rsidP="00D404F4">
            <w:pPr>
              <w:jc w:val="center"/>
              <w:rPr>
                <w:rFonts w:cs="Times New Roman"/>
                <w:sz w:val="22"/>
                <w:szCs w:val="22"/>
              </w:rPr>
            </w:pPr>
            <w:r w:rsidRPr="000733F5">
              <w:rPr>
                <w:rFonts w:cs="Times New Roman"/>
                <w:sz w:val="22"/>
                <w:szCs w:val="22"/>
              </w:rPr>
              <w:t>х</w:t>
            </w:r>
          </w:p>
        </w:tc>
      </w:tr>
      <w:tr w:rsidR="00CE46FF" w:rsidRPr="006F5925" w:rsidTr="00B07213">
        <w:trPr>
          <w:trHeight w:val="558"/>
          <w:jc w:val="center"/>
        </w:trPr>
        <w:tc>
          <w:tcPr>
            <w:tcW w:w="14006" w:type="dxa"/>
            <w:gridSpan w:val="7"/>
            <w:vAlign w:val="center"/>
            <w:hideMark/>
          </w:tcPr>
          <w:p w:rsidR="00CE46FF" w:rsidRPr="006F5925" w:rsidRDefault="00CE46FF" w:rsidP="007B5FC8">
            <w:pPr>
              <w:jc w:val="center"/>
              <w:rPr>
                <w:rFonts w:cs="Times New Roman"/>
                <w:sz w:val="22"/>
                <w:szCs w:val="22"/>
              </w:rPr>
            </w:pPr>
            <w:r w:rsidRPr="006F5925">
              <w:rPr>
                <w:rFonts w:cs="Times New Roman"/>
                <w:sz w:val="22"/>
                <w:szCs w:val="22"/>
                <w:u w:val="single"/>
              </w:rPr>
              <w:t>ІНВЕСТИЦІЙНА ТА ЗОВНІШНЬОЕКОНОМІЧНА ДІЯЛЬНІСТЬ</w:t>
            </w:r>
          </w:p>
        </w:tc>
      </w:tr>
      <w:tr w:rsidR="00CE46FF" w:rsidRPr="006F5925" w:rsidTr="006F5925">
        <w:trPr>
          <w:trHeight w:val="566"/>
          <w:jc w:val="center"/>
        </w:trPr>
        <w:tc>
          <w:tcPr>
            <w:tcW w:w="4609" w:type="dxa"/>
            <w:hideMark/>
          </w:tcPr>
          <w:p w:rsidR="00CE46FF" w:rsidRPr="006F5925" w:rsidRDefault="00CE46FF" w:rsidP="007B5FC8">
            <w:pPr>
              <w:jc w:val="both"/>
              <w:rPr>
                <w:rFonts w:cs="Times New Roman"/>
                <w:sz w:val="22"/>
                <w:szCs w:val="22"/>
              </w:rPr>
            </w:pPr>
            <w:r w:rsidRPr="006F5925">
              <w:rPr>
                <w:rFonts w:cs="Times New Roman"/>
                <w:sz w:val="22"/>
                <w:szCs w:val="22"/>
              </w:rPr>
              <w:t>Обсяг капітальних інвестицій за рахунок усіх джерел фінансування</w:t>
            </w:r>
          </w:p>
        </w:tc>
        <w:tc>
          <w:tcPr>
            <w:tcW w:w="1134" w:type="dxa"/>
            <w:vAlign w:val="center"/>
            <w:hideMark/>
          </w:tcPr>
          <w:p w:rsidR="00CE46FF" w:rsidRPr="006F5925" w:rsidRDefault="00CE46FF" w:rsidP="007B5FC8">
            <w:pPr>
              <w:jc w:val="center"/>
              <w:rPr>
                <w:rFonts w:cs="Times New Roman"/>
                <w:sz w:val="22"/>
                <w:szCs w:val="22"/>
              </w:rPr>
            </w:pPr>
            <w:r w:rsidRPr="006F5925">
              <w:rPr>
                <w:rFonts w:cs="Times New Roman"/>
                <w:sz w:val="22"/>
                <w:szCs w:val="22"/>
              </w:rPr>
              <w:t>тис. грн.</w:t>
            </w:r>
          </w:p>
        </w:tc>
        <w:tc>
          <w:tcPr>
            <w:tcW w:w="1559" w:type="dxa"/>
            <w:vAlign w:val="center"/>
          </w:tcPr>
          <w:p w:rsidR="00CE46FF" w:rsidRPr="006F5925" w:rsidRDefault="00CE46FF" w:rsidP="0080506C">
            <w:pPr>
              <w:jc w:val="center"/>
              <w:rPr>
                <w:rFonts w:cs="Times New Roman"/>
                <w:sz w:val="22"/>
                <w:szCs w:val="22"/>
              </w:rPr>
            </w:pPr>
            <w:r w:rsidRPr="006F5925">
              <w:rPr>
                <w:rFonts w:cs="Times New Roman"/>
                <w:sz w:val="22"/>
                <w:szCs w:val="22"/>
              </w:rPr>
              <w:t>3 066 800,0</w:t>
            </w:r>
          </w:p>
        </w:tc>
        <w:tc>
          <w:tcPr>
            <w:tcW w:w="1418" w:type="dxa"/>
            <w:vAlign w:val="center"/>
          </w:tcPr>
          <w:p w:rsidR="00CE46FF" w:rsidRPr="006F5925" w:rsidRDefault="00CE46FF" w:rsidP="007B5FC8">
            <w:pPr>
              <w:jc w:val="center"/>
              <w:rPr>
                <w:rFonts w:cs="Times New Roman"/>
                <w:sz w:val="22"/>
                <w:szCs w:val="22"/>
                <w:lang w:val="uk-UA"/>
              </w:rPr>
            </w:pPr>
            <w:r w:rsidRPr="006F5925">
              <w:rPr>
                <w:rFonts w:cs="Times New Roman"/>
                <w:sz w:val="22"/>
                <w:szCs w:val="22"/>
                <w:lang w:val="uk-UA"/>
              </w:rPr>
              <w:t>3 831 500,0</w:t>
            </w:r>
          </w:p>
        </w:tc>
        <w:tc>
          <w:tcPr>
            <w:tcW w:w="1842" w:type="dxa"/>
            <w:vAlign w:val="center"/>
          </w:tcPr>
          <w:p w:rsidR="00CE46FF" w:rsidRPr="0095431F" w:rsidRDefault="00CE46FF" w:rsidP="0080506C">
            <w:pPr>
              <w:jc w:val="center"/>
              <w:rPr>
                <w:sz w:val="22"/>
                <w:szCs w:val="22"/>
              </w:rPr>
            </w:pPr>
            <w:r w:rsidRPr="0095431F">
              <w:rPr>
                <w:sz w:val="22"/>
                <w:szCs w:val="22"/>
              </w:rPr>
              <w:t>3 224 556,2</w:t>
            </w:r>
          </w:p>
        </w:tc>
        <w:tc>
          <w:tcPr>
            <w:tcW w:w="1560" w:type="dxa"/>
            <w:vAlign w:val="center"/>
          </w:tcPr>
          <w:p w:rsidR="00CE46FF" w:rsidRPr="006F5925" w:rsidRDefault="00CE46FF" w:rsidP="007B5FC8">
            <w:pPr>
              <w:jc w:val="center"/>
              <w:rPr>
                <w:rFonts w:cs="Times New Roman"/>
                <w:sz w:val="22"/>
                <w:szCs w:val="22"/>
                <w:lang w:val="uk-UA"/>
              </w:rPr>
            </w:pPr>
            <w:r>
              <w:rPr>
                <w:rFonts w:cs="Times New Roman"/>
                <w:sz w:val="22"/>
                <w:szCs w:val="22"/>
                <w:lang w:val="uk-UA"/>
              </w:rPr>
              <w:t>2 623 848,0*</w:t>
            </w:r>
          </w:p>
        </w:tc>
        <w:tc>
          <w:tcPr>
            <w:tcW w:w="1884" w:type="dxa"/>
            <w:vAlign w:val="center"/>
          </w:tcPr>
          <w:p w:rsidR="00CE46FF" w:rsidRPr="006F5925" w:rsidRDefault="00D404F4" w:rsidP="007B5FC8">
            <w:pPr>
              <w:jc w:val="center"/>
              <w:rPr>
                <w:rFonts w:cs="Times New Roman"/>
                <w:sz w:val="22"/>
                <w:szCs w:val="22"/>
                <w:lang w:val="uk-UA"/>
              </w:rPr>
            </w:pPr>
            <w:r>
              <w:rPr>
                <w:rFonts w:cs="Times New Roman"/>
                <w:sz w:val="22"/>
                <w:szCs w:val="22"/>
                <w:lang w:val="uk-UA"/>
              </w:rPr>
              <w:t>х</w:t>
            </w:r>
          </w:p>
        </w:tc>
      </w:tr>
      <w:tr w:rsidR="00CE46FF" w:rsidRPr="006F5925" w:rsidTr="006F5925">
        <w:trPr>
          <w:trHeight w:val="813"/>
          <w:jc w:val="center"/>
        </w:trPr>
        <w:tc>
          <w:tcPr>
            <w:tcW w:w="4609" w:type="dxa"/>
            <w:hideMark/>
          </w:tcPr>
          <w:p w:rsidR="00CE46FF" w:rsidRPr="006F5925" w:rsidRDefault="00CE46FF" w:rsidP="007B5FC8">
            <w:pPr>
              <w:jc w:val="both"/>
              <w:rPr>
                <w:rFonts w:cs="Times New Roman"/>
                <w:sz w:val="22"/>
                <w:szCs w:val="22"/>
              </w:rPr>
            </w:pPr>
            <w:r w:rsidRPr="006F5925">
              <w:rPr>
                <w:rFonts w:cs="Times New Roman"/>
                <w:sz w:val="22"/>
                <w:szCs w:val="22"/>
              </w:rPr>
              <w:t>Обсяг капітальних інвестицій (крім інвестицій з державного бюджету) у розрахунку на одну особу</w:t>
            </w:r>
          </w:p>
        </w:tc>
        <w:tc>
          <w:tcPr>
            <w:tcW w:w="1134" w:type="dxa"/>
            <w:vAlign w:val="center"/>
            <w:hideMark/>
          </w:tcPr>
          <w:p w:rsidR="00CE46FF" w:rsidRPr="006F5925" w:rsidRDefault="00CE46FF" w:rsidP="007B5FC8">
            <w:pPr>
              <w:jc w:val="center"/>
              <w:rPr>
                <w:rFonts w:cs="Times New Roman"/>
                <w:sz w:val="22"/>
                <w:szCs w:val="22"/>
              </w:rPr>
            </w:pPr>
            <w:r w:rsidRPr="006F5925">
              <w:rPr>
                <w:rFonts w:cs="Times New Roman"/>
                <w:sz w:val="22"/>
                <w:szCs w:val="22"/>
              </w:rPr>
              <w:t>грн.</w:t>
            </w:r>
          </w:p>
        </w:tc>
        <w:tc>
          <w:tcPr>
            <w:tcW w:w="1559" w:type="dxa"/>
            <w:vAlign w:val="center"/>
          </w:tcPr>
          <w:p w:rsidR="00CE46FF" w:rsidRPr="006F5925" w:rsidRDefault="00CE46FF" w:rsidP="0080506C">
            <w:pPr>
              <w:jc w:val="center"/>
              <w:rPr>
                <w:rFonts w:cs="Times New Roman"/>
                <w:sz w:val="22"/>
                <w:szCs w:val="22"/>
              </w:rPr>
            </w:pPr>
            <w:r w:rsidRPr="006F5925">
              <w:rPr>
                <w:rFonts w:cs="Times New Roman"/>
                <w:sz w:val="22"/>
                <w:szCs w:val="22"/>
              </w:rPr>
              <w:t>11 029,0</w:t>
            </w:r>
          </w:p>
        </w:tc>
        <w:tc>
          <w:tcPr>
            <w:tcW w:w="1418" w:type="dxa"/>
            <w:vAlign w:val="center"/>
          </w:tcPr>
          <w:p w:rsidR="00CE46FF" w:rsidRPr="006F5925" w:rsidRDefault="00CE46FF" w:rsidP="007B5FC8">
            <w:pPr>
              <w:jc w:val="center"/>
              <w:rPr>
                <w:rFonts w:cs="Times New Roman"/>
                <w:sz w:val="22"/>
                <w:szCs w:val="22"/>
                <w:lang w:val="uk-UA"/>
              </w:rPr>
            </w:pPr>
            <w:r w:rsidRPr="006F5925">
              <w:rPr>
                <w:rFonts w:cs="Times New Roman"/>
                <w:sz w:val="22"/>
                <w:szCs w:val="22"/>
                <w:lang w:val="uk-UA"/>
              </w:rPr>
              <w:t>14 951,5</w:t>
            </w:r>
          </w:p>
        </w:tc>
        <w:tc>
          <w:tcPr>
            <w:tcW w:w="1842" w:type="dxa"/>
            <w:vAlign w:val="center"/>
          </w:tcPr>
          <w:p w:rsidR="00CE46FF" w:rsidRPr="0095431F" w:rsidRDefault="00CE46FF" w:rsidP="0080506C">
            <w:pPr>
              <w:jc w:val="center"/>
              <w:rPr>
                <w:sz w:val="22"/>
                <w:szCs w:val="22"/>
              </w:rPr>
            </w:pPr>
            <w:r w:rsidRPr="0095431F">
              <w:rPr>
                <w:sz w:val="22"/>
                <w:szCs w:val="22"/>
              </w:rPr>
              <w:t>12 307,5</w:t>
            </w:r>
          </w:p>
        </w:tc>
        <w:tc>
          <w:tcPr>
            <w:tcW w:w="1560" w:type="dxa"/>
            <w:vAlign w:val="center"/>
          </w:tcPr>
          <w:p w:rsidR="00CE46FF" w:rsidRPr="006F5925" w:rsidRDefault="00CE46FF" w:rsidP="007B5FC8">
            <w:pPr>
              <w:jc w:val="center"/>
              <w:rPr>
                <w:rFonts w:cs="Times New Roman"/>
                <w:sz w:val="22"/>
                <w:szCs w:val="22"/>
                <w:lang w:val="uk-UA"/>
              </w:rPr>
            </w:pPr>
            <w:r>
              <w:rPr>
                <w:rFonts w:cs="Times New Roman"/>
                <w:sz w:val="22"/>
                <w:szCs w:val="22"/>
                <w:lang w:val="uk-UA"/>
              </w:rPr>
              <w:t>10 200,0*</w:t>
            </w:r>
          </w:p>
        </w:tc>
        <w:tc>
          <w:tcPr>
            <w:tcW w:w="1884" w:type="dxa"/>
            <w:vAlign w:val="center"/>
          </w:tcPr>
          <w:p w:rsidR="00CE46FF" w:rsidRPr="006F5925" w:rsidRDefault="00D404F4" w:rsidP="007B5FC8">
            <w:pPr>
              <w:jc w:val="center"/>
              <w:rPr>
                <w:rFonts w:cs="Times New Roman"/>
                <w:sz w:val="22"/>
                <w:szCs w:val="22"/>
                <w:lang w:val="uk-UA"/>
              </w:rPr>
            </w:pPr>
            <w:r>
              <w:rPr>
                <w:rFonts w:cs="Times New Roman"/>
                <w:sz w:val="22"/>
                <w:szCs w:val="22"/>
                <w:lang w:val="uk-UA"/>
              </w:rPr>
              <w:t>х</w:t>
            </w:r>
          </w:p>
        </w:tc>
      </w:tr>
      <w:tr w:rsidR="00CE46FF" w:rsidRPr="006F5925" w:rsidTr="006F5925">
        <w:trPr>
          <w:trHeight w:val="813"/>
          <w:jc w:val="center"/>
        </w:trPr>
        <w:tc>
          <w:tcPr>
            <w:tcW w:w="4609" w:type="dxa"/>
            <w:hideMark/>
          </w:tcPr>
          <w:p w:rsidR="00CE46FF" w:rsidRPr="006F5925" w:rsidRDefault="00CE46FF" w:rsidP="007B5FC8">
            <w:pPr>
              <w:jc w:val="both"/>
              <w:rPr>
                <w:rFonts w:cs="Times New Roman"/>
                <w:sz w:val="22"/>
                <w:szCs w:val="22"/>
              </w:rPr>
            </w:pPr>
            <w:r w:rsidRPr="006F5925">
              <w:rPr>
                <w:rFonts w:cs="Times New Roman"/>
                <w:sz w:val="22"/>
                <w:szCs w:val="22"/>
              </w:rPr>
              <w:t>Обсяг прямих іноземних інвестицій з наростаючим підсумком, з початку інвестування</w:t>
            </w:r>
          </w:p>
        </w:tc>
        <w:tc>
          <w:tcPr>
            <w:tcW w:w="1134" w:type="dxa"/>
            <w:vAlign w:val="center"/>
            <w:hideMark/>
          </w:tcPr>
          <w:p w:rsidR="00CE46FF" w:rsidRPr="006F5925" w:rsidRDefault="00CE46FF" w:rsidP="007B5FC8">
            <w:pPr>
              <w:jc w:val="center"/>
              <w:rPr>
                <w:rFonts w:cs="Times New Roman"/>
                <w:sz w:val="22"/>
                <w:szCs w:val="22"/>
              </w:rPr>
            </w:pPr>
            <w:r w:rsidRPr="006F5925">
              <w:rPr>
                <w:rFonts w:cs="Times New Roman"/>
                <w:sz w:val="22"/>
                <w:szCs w:val="22"/>
              </w:rPr>
              <w:t>тис.дол. США</w:t>
            </w:r>
          </w:p>
        </w:tc>
        <w:tc>
          <w:tcPr>
            <w:tcW w:w="1559" w:type="dxa"/>
            <w:vAlign w:val="center"/>
          </w:tcPr>
          <w:p w:rsidR="00CE46FF" w:rsidRPr="006F5925" w:rsidRDefault="00CE46FF" w:rsidP="0080506C">
            <w:pPr>
              <w:jc w:val="center"/>
              <w:rPr>
                <w:rFonts w:cs="Times New Roman"/>
                <w:sz w:val="22"/>
                <w:szCs w:val="22"/>
              </w:rPr>
            </w:pPr>
            <w:r w:rsidRPr="006F5925">
              <w:rPr>
                <w:rFonts w:cs="Times New Roman"/>
                <w:sz w:val="22"/>
                <w:szCs w:val="22"/>
              </w:rPr>
              <w:t>494 504,8</w:t>
            </w:r>
          </w:p>
        </w:tc>
        <w:tc>
          <w:tcPr>
            <w:tcW w:w="1418" w:type="dxa"/>
            <w:vAlign w:val="center"/>
          </w:tcPr>
          <w:p w:rsidR="00CE46FF" w:rsidRPr="006F5925" w:rsidRDefault="00CE46FF" w:rsidP="007B5FC8">
            <w:pPr>
              <w:jc w:val="center"/>
              <w:rPr>
                <w:rFonts w:cs="Times New Roman"/>
                <w:sz w:val="22"/>
                <w:szCs w:val="22"/>
                <w:lang w:val="uk-UA"/>
              </w:rPr>
            </w:pPr>
            <w:r w:rsidRPr="006F5925">
              <w:rPr>
                <w:rFonts w:cs="Times New Roman"/>
                <w:sz w:val="22"/>
                <w:szCs w:val="22"/>
                <w:lang w:val="uk-UA"/>
              </w:rPr>
              <w:t>491 607,8</w:t>
            </w:r>
          </w:p>
        </w:tc>
        <w:tc>
          <w:tcPr>
            <w:tcW w:w="1842" w:type="dxa"/>
            <w:vAlign w:val="center"/>
          </w:tcPr>
          <w:p w:rsidR="00CE46FF" w:rsidRPr="0095431F" w:rsidRDefault="00CE46FF" w:rsidP="0080506C">
            <w:pPr>
              <w:jc w:val="center"/>
              <w:rPr>
                <w:sz w:val="22"/>
                <w:szCs w:val="22"/>
              </w:rPr>
            </w:pPr>
            <w:r w:rsidRPr="0095431F">
              <w:rPr>
                <w:sz w:val="22"/>
                <w:szCs w:val="22"/>
              </w:rPr>
              <w:t>508 330,0</w:t>
            </w:r>
          </w:p>
        </w:tc>
        <w:tc>
          <w:tcPr>
            <w:tcW w:w="1560" w:type="dxa"/>
            <w:vAlign w:val="center"/>
          </w:tcPr>
          <w:p w:rsidR="00CE46FF" w:rsidRPr="006F5925" w:rsidRDefault="00CE46FF" w:rsidP="007B5FC8">
            <w:pPr>
              <w:jc w:val="center"/>
              <w:rPr>
                <w:rFonts w:cs="Times New Roman"/>
                <w:sz w:val="22"/>
                <w:szCs w:val="22"/>
                <w:lang w:val="uk-UA"/>
              </w:rPr>
            </w:pPr>
            <w:r>
              <w:rPr>
                <w:rFonts w:cs="Times New Roman"/>
                <w:sz w:val="22"/>
                <w:szCs w:val="22"/>
                <w:lang w:val="uk-UA"/>
              </w:rPr>
              <w:t>476 616,3</w:t>
            </w:r>
          </w:p>
        </w:tc>
        <w:tc>
          <w:tcPr>
            <w:tcW w:w="1884" w:type="dxa"/>
            <w:vAlign w:val="center"/>
          </w:tcPr>
          <w:p w:rsidR="00CE46FF" w:rsidRPr="00D404F4" w:rsidRDefault="00D404F4" w:rsidP="007B5FC8">
            <w:pPr>
              <w:jc w:val="center"/>
              <w:rPr>
                <w:rFonts w:cs="Times New Roman"/>
                <w:sz w:val="22"/>
                <w:szCs w:val="22"/>
                <w:lang w:val="uk-UA"/>
              </w:rPr>
            </w:pPr>
            <w:r>
              <w:rPr>
                <w:rFonts w:cs="Times New Roman"/>
                <w:sz w:val="22"/>
                <w:szCs w:val="22"/>
                <w:lang w:val="uk-UA"/>
              </w:rPr>
              <w:t>96,9%</w:t>
            </w:r>
          </w:p>
        </w:tc>
      </w:tr>
      <w:tr w:rsidR="00CE46FF" w:rsidRPr="006F5925" w:rsidTr="006F5925">
        <w:trPr>
          <w:trHeight w:val="503"/>
          <w:jc w:val="center"/>
        </w:trPr>
        <w:tc>
          <w:tcPr>
            <w:tcW w:w="4609" w:type="dxa"/>
            <w:hideMark/>
          </w:tcPr>
          <w:p w:rsidR="00CE46FF" w:rsidRPr="006F5925" w:rsidRDefault="00CE46FF" w:rsidP="007B5FC8">
            <w:pPr>
              <w:jc w:val="both"/>
              <w:rPr>
                <w:rFonts w:cs="Times New Roman"/>
                <w:sz w:val="22"/>
                <w:szCs w:val="22"/>
              </w:rPr>
            </w:pPr>
            <w:r w:rsidRPr="006F5925">
              <w:rPr>
                <w:rFonts w:cs="Times New Roman"/>
                <w:sz w:val="22"/>
                <w:szCs w:val="22"/>
              </w:rPr>
              <w:t xml:space="preserve">Обсяг прямих іноземних інвестицій на кінець звітного періоду (у % </w:t>
            </w:r>
            <w:proofErr w:type="gramStart"/>
            <w:r w:rsidRPr="006F5925">
              <w:rPr>
                <w:rFonts w:cs="Times New Roman"/>
                <w:sz w:val="22"/>
                <w:szCs w:val="22"/>
              </w:rPr>
              <w:t>до початку</w:t>
            </w:r>
            <w:proofErr w:type="gramEnd"/>
            <w:r w:rsidRPr="006F5925">
              <w:rPr>
                <w:rFonts w:cs="Times New Roman"/>
                <w:sz w:val="22"/>
                <w:szCs w:val="22"/>
              </w:rPr>
              <w:t xml:space="preserve"> року)</w:t>
            </w:r>
          </w:p>
        </w:tc>
        <w:tc>
          <w:tcPr>
            <w:tcW w:w="1134" w:type="dxa"/>
            <w:vAlign w:val="center"/>
            <w:hideMark/>
          </w:tcPr>
          <w:p w:rsidR="00CE46FF" w:rsidRPr="006F5925" w:rsidRDefault="00CE46FF" w:rsidP="007B5FC8">
            <w:pPr>
              <w:jc w:val="center"/>
              <w:rPr>
                <w:rFonts w:cs="Times New Roman"/>
                <w:sz w:val="22"/>
                <w:szCs w:val="22"/>
              </w:rPr>
            </w:pPr>
            <w:r w:rsidRPr="006F5925">
              <w:rPr>
                <w:rFonts w:cs="Times New Roman"/>
                <w:sz w:val="22"/>
                <w:szCs w:val="22"/>
              </w:rPr>
              <w:t>%</w:t>
            </w:r>
          </w:p>
        </w:tc>
        <w:tc>
          <w:tcPr>
            <w:tcW w:w="1559" w:type="dxa"/>
            <w:vAlign w:val="center"/>
          </w:tcPr>
          <w:p w:rsidR="00CE46FF" w:rsidRPr="006F5925" w:rsidRDefault="00CE46FF" w:rsidP="0080506C">
            <w:pPr>
              <w:jc w:val="center"/>
              <w:rPr>
                <w:rFonts w:cs="Times New Roman"/>
                <w:sz w:val="22"/>
                <w:szCs w:val="22"/>
              </w:rPr>
            </w:pPr>
            <w:r w:rsidRPr="006F5925">
              <w:rPr>
                <w:rFonts w:cs="Times New Roman"/>
                <w:sz w:val="22"/>
                <w:szCs w:val="22"/>
              </w:rPr>
              <w:t>109,2</w:t>
            </w:r>
          </w:p>
        </w:tc>
        <w:tc>
          <w:tcPr>
            <w:tcW w:w="1418" w:type="dxa"/>
            <w:vAlign w:val="center"/>
          </w:tcPr>
          <w:p w:rsidR="00CE46FF" w:rsidRPr="006F5925" w:rsidRDefault="00CE46FF" w:rsidP="007B5FC8">
            <w:pPr>
              <w:jc w:val="center"/>
              <w:rPr>
                <w:rFonts w:cs="Times New Roman"/>
                <w:sz w:val="22"/>
                <w:szCs w:val="22"/>
                <w:lang w:val="uk-UA"/>
              </w:rPr>
            </w:pPr>
            <w:r w:rsidRPr="006F5925">
              <w:rPr>
                <w:rFonts w:cs="Times New Roman"/>
                <w:sz w:val="22"/>
                <w:szCs w:val="22"/>
                <w:lang w:val="uk-UA"/>
              </w:rPr>
              <w:t>98,7</w:t>
            </w:r>
          </w:p>
        </w:tc>
        <w:tc>
          <w:tcPr>
            <w:tcW w:w="1842" w:type="dxa"/>
            <w:vAlign w:val="center"/>
          </w:tcPr>
          <w:p w:rsidR="00CE46FF" w:rsidRPr="0095431F" w:rsidRDefault="00CE46FF" w:rsidP="0080506C">
            <w:pPr>
              <w:jc w:val="center"/>
              <w:rPr>
                <w:sz w:val="22"/>
                <w:szCs w:val="22"/>
              </w:rPr>
            </w:pPr>
            <w:r w:rsidRPr="0095431F">
              <w:rPr>
                <w:sz w:val="22"/>
                <w:szCs w:val="22"/>
              </w:rPr>
              <w:t>101,3</w:t>
            </w:r>
          </w:p>
        </w:tc>
        <w:tc>
          <w:tcPr>
            <w:tcW w:w="1560" w:type="dxa"/>
            <w:vAlign w:val="center"/>
          </w:tcPr>
          <w:p w:rsidR="00CE46FF" w:rsidRPr="006F5925" w:rsidRDefault="00CE46FF" w:rsidP="007B5FC8">
            <w:pPr>
              <w:jc w:val="center"/>
              <w:rPr>
                <w:rFonts w:cs="Times New Roman"/>
                <w:sz w:val="22"/>
                <w:szCs w:val="22"/>
                <w:lang w:val="uk-UA"/>
              </w:rPr>
            </w:pPr>
            <w:r>
              <w:rPr>
                <w:rFonts w:cs="Times New Roman"/>
                <w:sz w:val="22"/>
                <w:szCs w:val="22"/>
                <w:lang w:val="uk-UA"/>
              </w:rPr>
              <w:t>96,9</w:t>
            </w:r>
          </w:p>
        </w:tc>
        <w:tc>
          <w:tcPr>
            <w:tcW w:w="1884" w:type="dxa"/>
            <w:vAlign w:val="center"/>
          </w:tcPr>
          <w:p w:rsidR="00CE46FF" w:rsidRPr="00D404F4" w:rsidRDefault="00D404F4" w:rsidP="007B5FC8">
            <w:pPr>
              <w:jc w:val="center"/>
              <w:rPr>
                <w:rFonts w:cs="Times New Roman"/>
                <w:sz w:val="22"/>
                <w:szCs w:val="22"/>
                <w:lang w:val="uk-UA"/>
              </w:rPr>
            </w:pPr>
            <w:r>
              <w:rPr>
                <w:rFonts w:cs="Times New Roman"/>
                <w:sz w:val="22"/>
                <w:szCs w:val="22"/>
                <w:lang w:val="uk-UA"/>
              </w:rPr>
              <w:t>х</w:t>
            </w:r>
          </w:p>
        </w:tc>
      </w:tr>
      <w:tr w:rsidR="00CE46FF" w:rsidRPr="007B5FC8" w:rsidTr="006F5925">
        <w:trPr>
          <w:trHeight w:val="567"/>
          <w:jc w:val="center"/>
        </w:trPr>
        <w:tc>
          <w:tcPr>
            <w:tcW w:w="4609" w:type="dxa"/>
            <w:hideMark/>
          </w:tcPr>
          <w:p w:rsidR="00CE46FF" w:rsidRPr="006F5925" w:rsidRDefault="00CE46FF" w:rsidP="007B5FC8">
            <w:pPr>
              <w:jc w:val="both"/>
              <w:rPr>
                <w:rFonts w:cs="Times New Roman"/>
                <w:sz w:val="22"/>
                <w:szCs w:val="22"/>
              </w:rPr>
            </w:pPr>
            <w:r w:rsidRPr="006F5925">
              <w:rPr>
                <w:rFonts w:cs="Times New Roman"/>
                <w:sz w:val="22"/>
                <w:szCs w:val="22"/>
              </w:rPr>
              <w:t xml:space="preserve">Обсяг прямих іноземних інвестицій на одну особу </w:t>
            </w:r>
          </w:p>
        </w:tc>
        <w:tc>
          <w:tcPr>
            <w:tcW w:w="1134" w:type="dxa"/>
            <w:vAlign w:val="center"/>
            <w:hideMark/>
          </w:tcPr>
          <w:p w:rsidR="00CE46FF" w:rsidRPr="006F5925" w:rsidRDefault="00CE46FF" w:rsidP="007B5FC8">
            <w:pPr>
              <w:jc w:val="center"/>
              <w:rPr>
                <w:rFonts w:cs="Times New Roman"/>
                <w:sz w:val="22"/>
                <w:szCs w:val="22"/>
              </w:rPr>
            </w:pPr>
            <w:r w:rsidRPr="006F5925">
              <w:rPr>
                <w:rFonts w:cs="Times New Roman"/>
                <w:sz w:val="22"/>
                <w:szCs w:val="22"/>
              </w:rPr>
              <w:t>дол. США</w:t>
            </w:r>
          </w:p>
        </w:tc>
        <w:tc>
          <w:tcPr>
            <w:tcW w:w="1559" w:type="dxa"/>
            <w:vAlign w:val="center"/>
          </w:tcPr>
          <w:p w:rsidR="00CE46FF" w:rsidRPr="006F5925" w:rsidRDefault="00CE46FF" w:rsidP="0080506C">
            <w:pPr>
              <w:jc w:val="center"/>
              <w:rPr>
                <w:rFonts w:cs="Times New Roman"/>
                <w:sz w:val="22"/>
                <w:szCs w:val="22"/>
              </w:rPr>
            </w:pPr>
            <w:r w:rsidRPr="006F5925">
              <w:rPr>
                <w:rFonts w:cs="Times New Roman"/>
                <w:sz w:val="22"/>
                <w:szCs w:val="22"/>
              </w:rPr>
              <w:t>1 967,2</w:t>
            </w:r>
          </w:p>
        </w:tc>
        <w:tc>
          <w:tcPr>
            <w:tcW w:w="1418" w:type="dxa"/>
            <w:vAlign w:val="center"/>
          </w:tcPr>
          <w:p w:rsidR="00CE46FF" w:rsidRPr="006F5925" w:rsidRDefault="00CE46FF" w:rsidP="007B5FC8">
            <w:pPr>
              <w:jc w:val="center"/>
              <w:rPr>
                <w:rFonts w:cs="Times New Roman"/>
                <w:sz w:val="22"/>
                <w:szCs w:val="22"/>
                <w:lang w:val="uk-UA"/>
              </w:rPr>
            </w:pPr>
            <w:r w:rsidRPr="006F5925">
              <w:rPr>
                <w:rFonts w:cs="Times New Roman"/>
                <w:sz w:val="22"/>
                <w:szCs w:val="22"/>
                <w:lang w:val="uk-UA"/>
              </w:rPr>
              <w:t>1 918,4</w:t>
            </w:r>
          </w:p>
        </w:tc>
        <w:tc>
          <w:tcPr>
            <w:tcW w:w="1842" w:type="dxa"/>
            <w:vAlign w:val="center"/>
          </w:tcPr>
          <w:p w:rsidR="00CE46FF" w:rsidRPr="0095431F" w:rsidRDefault="00CE46FF" w:rsidP="0080506C">
            <w:pPr>
              <w:jc w:val="center"/>
              <w:rPr>
                <w:sz w:val="22"/>
                <w:szCs w:val="22"/>
              </w:rPr>
            </w:pPr>
            <w:r w:rsidRPr="0095431F">
              <w:rPr>
                <w:sz w:val="22"/>
                <w:szCs w:val="22"/>
              </w:rPr>
              <w:t>1 940,2</w:t>
            </w:r>
          </w:p>
        </w:tc>
        <w:tc>
          <w:tcPr>
            <w:tcW w:w="1560" w:type="dxa"/>
            <w:vAlign w:val="center"/>
          </w:tcPr>
          <w:p w:rsidR="00CE46FF" w:rsidRPr="006F5925" w:rsidRDefault="00CE46FF" w:rsidP="007B5FC8">
            <w:pPr>
              <w:jc w:val="center"/>
              <w:rPr>
                <w:rFonts w:cs="Times New Roman"/>
                <w:sz w:val="22"/>
                <w:szCs w:val="22"/>
                <w:lang w:val="uk-UA"/>
              </w:rPr>
            </w:pPr>
            <w:r>
              <w:rPr>
                <w:rFonts w:cs="Times New Roman"/>
                <w:sz w:val="22"/>
                <w:szCs w:val="22"/>
                <w:lang w:val="uk-UA"/>
              </w:rPr>
              <w:t>1 859,9</w:t>
            </w:r>
          </w:p>
        </w:tc>
        <w:tc>
          <w:tcPr>
            <w:tcW w:w="1884" w:type="dxa"/>
            <w:vAlign w:val="center"/>
          </w:tcPr>
          <w:p w:rsidR="00CE46FF" w:rsidRPr="006F5925" w:rsidRDefault="00D404F4" w:rsidP="007B5FC8">
            <w:pPr>
              <w:jc w:val="center"/>
              <w:rPr>
                <w:rFonts w:cs="Times New Roman"/>
                <w:sz w:val="22"/>
                <w:szCs w:val="22"/>
                <w:lang w:val="uk-UA"/>
              </w:rPr>
            </w:pPr>
            <w:r>
              <w:rPr>
                <w:rFonts w:cs="Times New Roman"/>
                <w:sz w:val="22"/>
                <w:szCs w:val="22"/>
                <w:lang w:val="uk-UA"/>
              </w:rPr>
              <w:t>96,9%</w:t>
            </w:r>
          </w:p>
        </w:tc>
      </w:tr>
      <w:tr w:rsidR="00CE46FF" w:rsidRPr="007B5FC8" w:rsidTr="006F5925">
        <w:trPr>
          <w:trHeight w:val="689"/>
          <w:jc w:val="center"/>
        </w:trPr>
        <w:tc>
          <w:tcPr>
            <w:tcW w:w="4609" w:type="dxa"/>
            <w:hideMark/>
          </w:tcPr>
          <w:p w:rsidR="00CE46FF" w:rsidRPr="006F5925" w:rsidRDefault="00CE46FF" w:rsidP="007B5FC8">
            <w:pPr>
              <w:jc w:val="both"/>
              <w:rPr>
                <w:rFonts w:cs="Times New Roman"/>
                <w:sz w:val="22"/>
                <w:szCs w:val="22"/>
              </w:rPr>
            </w:pPr>
            <w:r w:rsidRPr="006F5925">
              <w:rPr>
                <w:rFonts w:cs="Times New Roman"/>
                <w:sz w:val="22"/>
                <w:szCs w:val="22"/>
              </w:rPr>
              <w:lastRenderedPageBreak/>
              <w:t>Обсяг експорту товарів, всього</w:t>
            </w:r>
          </w:p>
        </w:tc>
        <w:tc>
          <w:tcPr>
            <w:tcW w:w="1134" w:type="dxa"/>
            <w:vAlign w:val="center"/>
            <w:hideMark/>
          </w:tcPr>
          <w:p w:rsidR="00CE46FF" w:rsidRPr="006F5925" w:rsidRDefault="00CE46FF" w:rsidP="007B5FC8">
            <w:pPr>
              <w:jc w:val="center"/>
              <w:rPr>
                <w:rFonts w:cs="Times New Roman"/>
                <w:sz w:val="22"/>
                <w:szCs w:val="22"/>
              </w:rPr>
            </w:pPr>
            <w:r w:rsidRPr="006F5925">
              <w:rPr>
                <w:rFonts w:cs="Times New Roman"/>
                <w:sz w:val="22"/>
                <w:szCs w:val="22"/>
              </w:rPr>
              <w:t>тис.дол. США</w:t>
            </w:r>
          </w:p>
        </w:tc>
        <w:tc>
          <w:tcPr>
            <w:tcW w:w="1559" w:type="dxa"/>
            <w:vAlign w:val="center"/>
          </w:tcPr>
          <w:p w:rsidR="00CE46FF" w:rsidRPr="006F5925" w:rsidRDefault="00CE46FF" w:rsidP="0080506C">
            <w:pPr>
              <w:jc w:val="center"/>
              <w:rPr>
                <w:rFonts w:cs="Times New Roman"/>
                <w:sz w:val="22"/>
                <w:szCs w:val="22"/>
              </w:rPr>
            </w:pPr>
            <w:r w:rsidRPr="006F5925">
              <w:rPr>
                <w:rFonts w:cs="Times New Roman"/>
                <w:sz w:val="22"/>
                <w:szCs w:val="22"/>
              </w:rPr>
              <w:t>252 728,6</w:t>
            </w:r>
          </w:p>
        </w:tc>
        <w:tc>
          <w:tcPr>
            <w:tcW w:w="1418" w:type="dxa"/>
            <w:vAlign w:val="center"/>
          </w:tcPr>
          <w:p w:rsidR="00CE46FF" w:rsidRPr="006F5925" w:rsidRDefault="00CE46FF" w:rsidP="007B5FC8">
            <w:pPr>
              <w:jc w:val="center"/>
              <w:rPr>
                <w:rFonts w:cs="Times New Roman"/>
                <w:sz w:val="22"/>
                <w:szCs w:val="22"/>
                <w:lang w:val="uk-UA"/>
              </w:rPr>
            </w:pPr>
            <w:r w:rsidRPr="006F5925">
              <w:rPr>
                <w:rFonts w:cs="Times New Roman"/>
                <w:sz w:val="22"/>
                <w:szCs w:val="22"/>
                <w:lang w:val="uk-UA"/>
              </w:rPr>
              <w:t>224 237,0</w:t>
            </w:r>
          </w:p>
        </w:tc>
        <w:tc>
          <w:tcPr>
            <w:tcW w:w="1842" w:type="dxa"/>
            <w:vAlign w:val="center"/>
          </w:tcPr>
          <w:p w:rsidR="00CE46FF" w:rsidRPr="0095431F" w:rsidRDefault="00CE46FF" w:rsidP="0080506C">
            <w:pPr>
              <w:jc w:val="center"/>
              <w:rPr>
                <w:sz w:val="22"/>
                <w:szCs w:val="22"/>
              </w:rPr>
            </w:pPr>
            <w:r w:rsidRPr="0095431F">
              <w:rPr>
                <w:sz w:val="22"/>
                <w:szCs w:val="22"/>
              </w:rPr>
              <w:t>256 800,0</w:t>
            </w:r>
          </w:p>
        </w:tc>
        <w:tc>
          <w:tcPr>
            <w:tcW w:w="1560" w:type="dxa"/>
            <w:vAlign w:val="center"/>
          </w:tcPr>
          <w:p w:rsidR="00CE46FF" w:rsidRPr="006F5925" w:rsidRDefault="00CE46FF" w:rsidP="007B5FC8">
            <w:pPr>
              <w:jc w:val="center"/>
              <w:rPr>
                <w:rFonts w:cs="Times New Roman"/>
                <w:sz w:val="22"/>
                <w:szCs w:val="22"/>
                <w:lang w:val="uk-UA"/>
              </w:rPr>
            </w:pPr>
            <w:r>
              <w:rPr>
                <w:rFonts w:cs="Times New Roman"/>
                <w:sz w:val="22"/>
                <w:szCs w:val="22"/>
                <w:lang w:val="uk-UA"/>
              </w:rPr>
              <w:t>255 696,8**</w:t>
            </w:r>
          </w:p>
        </w:tc>
        <w:tc>
          <w:tcPr>
            <w:tcW w:w="1884" w:type="dxa"/>
            <w:vAlign w:val="center"/>
          </w:tcPr>
          <w:p w:rsidR="00CE46FF" w:rsidRPr="00D404F4" w:rsidRDefault="00D404F4" w:rsidP="007B5FC8">
            <w:pPr>
              <w:jc w:val="center"/>
              <w:rPr>
                <w:rFonts w:cs="Times New Roman"/>
                <w:sz w:val="22"/>
                <w:szCs w:val="22"/>
                <w:lang w:val="uk-UA"/>
              </w:rPr>
            </w:pPr>
            <w:r>
              <w:rPr>
                <w:rFonts w:cs="Times New Roman"/>
                <w:sz w:val="22"/>
                <w:szCs w:val="22"/>
                <w:lang w:val="uk-UA"/>
              </w:rPr>
              <w:t>х</w:t>
            </w:r>
          </w:p>
        </w:tc>
      </w:tr>
      <w:tr w:rsidR="00CE46FF" w:rsidRPr="0095431F" w:rsidTr="006F5925">
        <w:trPr>
          <w:trHeight w:val="840"/>
          <w:jc w:val="center"/>
        </w:trPr>
        <w:tc>
          <w:tcPr>
            <w:tcW w:w="4609" w:type="dxa"/>
            <w:hideMark/>
          </w:tcPr>
          <w:p w:rsidR="00CE46FF" w:rsidRPr="0095431F" w:rsidRDefault="00CE46FF" w:rsidP="007B5FC8">
            <w:pPr>
              <w:jc w:val="both"/>
              <w:rPr>
                <w:rFonts w:cs="Times New Roman"/>
                <w:sz w:val="22"/>
                <w:szCs w:val="22"/>
              </w:rPr>
            </w:pPr>
            <w:r w:rsidRPr="0095431F">
              <w:rPr>
                <w:rFonts w:cs="Times New Roman"/>
                <w:sz w:val="22"/>
                <w:szCs w:val="22"/>
              </w:rPr>
              <w:t>Темп зростання (зменшення) експорту товарів, відсотків до відповідного періоду попереднього року</w:t>
            </w:r>
          </w:p>
        </w:tc>
        <w:tc>
          <w:tcPr>
            <w:tcW w:w="1134" w:type="dxa"/>
            <w:vAlign w:val="center"/>
            <w:hideMark/>
          </w:tcPr>
          <w:p w:rsidR="00CE46FF" w:rsidRPr="0095431F" w:rsidRDefault="00CE46FF" w:rsidP="007B5FC8">
            <w:pPr>
              <w:jc w:val="center"/>
              <w:rPr>
                <w:rFonts w:cs="Times New Roman"/>
                <w:sz w:val="22"/>
                <w:szCs w:val="22"/>
              </w:rPr>
            </w:pPr>
            <w:r w:rsidRPr="0095431F">
              <w:rPr>
                <w:rFonts w:cs="Times New Roman"/>
                <w:sz w:val="22"/>
                <w:szCs w:val="22"/>
              </w:rPr>
              <w:t>%</w:t>
            </w:r>
          </w:p>
        </w:tc>
        <w:tc>
          <w:tcPr>
            <w:tcW w:w="1559" w:type="dxa"/>
            <w:vAlign w:val="center"/>
          </w:tcPr>
          <w:p w:rsidR="00CE46FF" w:rsidRPr="0095431F" w:rsidRDefault="00CE46FF" w:rsidP="0080506C">
            <w:pPr>
              <w:jc w:val="center"/>
              <w:rPr>
                <w:rFonts w:cs="Times New Roman"/>
                <w:sz w:val="22"/>
                <w:szCs w:val="22"/>
              </w:rPr>
            </w:pPr>
            <w:r w:rsidRPr="0095431F">
              <w:rPr>
                <w:rFonts w:cs="Times New Roman"/>
                <w:sz w:val="22"/>
                <w:szCs w:val="22"/>
              </w:rPr>
              <w:t>66,6</w:t>
            </w:r>
          </w:p>
        </w:tc>
        <w:tc>
          <w:tcPr>
            <w:tcW w:w="1418" w:type="dxa"/>
            <w:vAlign w:val="center"/>
          </w:tcPr>
          <w:p w:rsidR="00CE46FF" w:rsidRPr="0095431F" w:rsidRDefault="00CE46FF" w:rsidP="007B5FC8">
            <w:pPr>
              <w:jc w:val="center"/>
              <w:rPr>
                <w:rFonts w:cs="Times New Roman"/>
                <w:sz w:val="22"/>
                <w:szCs w:val="22"/>
                <w:lang w:val="uk-UA"/>
              </w:rPr>
            </w:pPr>
            <w:r w:rsidRPr="0095431F">
              <w:rPr>
                <w:rFonts w:cs="Times New Roman"/>
                <w:sz w:val="22"/>
                <w:szCs w:val="22"/>
                <w:lang w:val="uk-UA"/>
              </w:rPr>
              <w:t>88,7</w:t>
            </w:r>
          </w:p>
        </w:tc>
        <w:tc>
          <w:tcPr>
            <w:tcW w:w="1842" w:type="dxa"/>
            <w:vAlign w:val="center"/>
          </w:tcPr>
          <w:p w:rsidR="00CE46FF" w:rsidRPr="0095431F" w:rsidRDefault="00CE46FF" w:rsidP="0080506C">
            <w:pPr>
              <w:jc w:val="center"/>
              <w:rPr>
                <w:sz w:val="22"/>
                <w:szCs w:val="22"/>
              </w:rPr>
            </w:pPr>
            <w:r w:rsidRPr="0095431F">
              <w:rPr>
                <w:sz w:val="22"/>
                <w:szCs w:val="22"/>
              </w:rPr>
              <w:t>107,0</w:t>
            </w:r>
          </w:p>
        </w:tc>
        <w:tc>
          <w:tcPr>
            <w:tcW w:w="1560" w:type="dxa"/>
            <w:vAlign w:val="center"/>
          </w:tcPr>
          <w:p w:rsidR="00CE46FF" w:rsidRPr="0095431F" w:rsidRDefault="00CE46FF" w:rsidP="007B5FC8">
            <w:pPr>
              <w:jc w:val="center"/>
              <w:rPr>
                <w:rFonts w:cs="Times New Roman"/>
                <w:sz w:val="22"/>
                <w:szCs w:val="22"/>
                <w:lang w:val="uk-UA"/>
              </w:rPr>
            </w:pPr>
            <w:r>
              <w:rPr>
                <w:rFonts w:cs="Times New Roman"/>
                <w:sz w:val="22"/>
                <w:szCs w:val="22"/>
                <w:lang w:val="uk-UA"/>
              </w:rPr>
              <w:t>123%**</w:t>
            </w:r>
          </w:p>
        </w:tc>
        <w:tc>
          <w:tcPr>
            <w:tcW w:w="1884" w:type="dxa"/>
            <w:vAlign w:val="center"/>
          </w:tcPr>
          <w:p w:rsidR="00CE46FF" w:rsidRPr="00D404F4" w:rsidRDefault="00D404F4" w:rsidP="007B5FC8">
            <w:pPr>
              <w:jc w:val="center"/>
              <w:rPr>
                <w:rFonts w:cs="Times New Roman"/>
                <w:sz w:val="22"/>
                <w:szCs w:val="22"/>
                <w:lang w:val="uk-UA"/>
              </w:rPr>
            </w:pPr>
            <w:r>
              <w:rPr>
                <w:rFonts w:cs="Times New Roman"/>
                <w:sz w:val="22"/>
                <w:szCs w:val="22"/>
                <w:lang w:val="uk-UA"/>
              </w:rPr>
              <w:t>х</w:t>
            </w:r>
          </w:p>
        </w:tc>
      </w:tr>
      <w:tr w:rsidR="00CE46FF" w:rsidRPr="0095431F" w:rsidTr="006F5925">
        <w:trPr>
          <w:trHeight w:val="555"/>
          <w:jc w:val="center"/>
        </w:trPr>
        <w:tc>
          <w:tcPr>
            <w:tcW w:w="4609" w:type="dxa"/>
            <w:hideMark/>
          </w:tcPr>
          <w:p w:rsidR="00CE46FF" w:rsidRPr="0095431F" w:rsidRDefault="00CE46FF" w:rsidP="007B5FC8">
            <w:pPr>
              <w:jc w:val="both"/>
              <w:rPr>
                <w:rFonts w:cs="Times New Roman"/>
                <w:sz w:val="22"/>
                <w:szCs w:val="22"/>
              </w:rPr>
            </w:pPr>
            <w:r w:rsidRPr="0095431F">
              <w:rPr>
                <w:rFonts w:cs="Times New Roman"/>
                <w:sz w:val="22"/>
                <w:szCs w:val="22"/>
              </w:rPr>
              <w:t>Обсяг експорту товарів у розрахунку на одну особу населення</w:t>
            </w:r>
          </w:p>
        </w:tc>
        <w:tc>
          <w:tcPr>
            <w:tcW w:w="1134" w:type="dxa"/>
            <w:vAlign w:val="center"/>
            <w:hideMark/>
          </w:tcPr>
          <w:p w:rsidR="00CE46FF" w:rsidRPr="0095431F" w:rsidRDefault="00CE46FF" w:rsidP="007B5FC8">
            <w:pPr>
              <w:jc w:val="center"/>
              <w:rPr>
                <w:rFonts w:cs="Times New Roman"/>
                <w:sz w:val="22"/>
                <w:szCs w:val="22"/>
              </w:rPr>
            </w:pPr>
            <w:r w:rsidRPr="0095431F">
              <w:rPr>
                <w:rFonts w:cs="Times New Roman"/>
                <w:sz w:val="22"/>
                <w:szCs w:val="22"/>
              </w:rPr>
              <w:t>дол. США</w:t>
            </w:r>
          </w:p>
        </w:tc>
        <w:tc>
          <w:tcPr>
            <w:tcW w:w="1559" w:type="dxa"/>
            <w:vAlign w:val="center"/>
          </w:tcPr>
          <w:p w:rsidR="00CE46FF" w:rsidRPr="0095431F" w:rsidRDefault="00CE46FF" w:rsidP="0080506C">
            <w:pPr>
              <w:jc w:val="center"/>
              <w:rPr>
                <w:rFonts w:cs="Times New Roman"/>
                <w:sz w:val="22"/>
                <w:szCs w:val="22"/>
              </w:rPr>
            </w:pPr>
            <w:r w:rsidRPr="0095431F">
              <w:rPr>
                <w:rFonts w:cs="Times New Roman"/>
                <w:sz w:val="22"/>
                <w:szCs w:val="22"/>
              </w:rPr>
              <w:t>987</w:t>
            </w:r>
          </w:p>
        </w:tc>
        <w:tc>
          <w:tcPr>
            <w:tcW w:w="1418" w:type="dxa"/>
            <w:vAlign w:val="center"/>
          </w:tcPr>
          <w:p w:rsidR="00CE46FF" w:rsidRPr="0095431F" w:rsidRDefault="00CE46FF" w:rsidP="007B5FC8">
            <w:pPr>
              <w:jc w:val="center"/>
              <w:rPr>
                <w:rFonts w:cs="Times New Roman"/>
                <w:sz w:val="22"/>
                <w:szCs w:val="22"/>
                <w:lang w:val="uk-UA"/>
              </w:rPr>
            </w:pPr>
            <w:r w:rsidRPr="0095431F">
              <w:rPr>
                <w:rFonts w:cs="Times New Roman"/>
                <w:sz w:val="22"/>
                <w:szCs w:val="22"/>
                <w:lang w:val="uk-UA"/>
              </w:rPr>
              <w:t>865,0</w:t>
            </w:r>
          </w:p>
        </w:tc>
        <w:tc>
          <w:tcPr>
            <w:tcW w:w="1842" w:type="dxa"/>
            <w:vAlign w:val="center"/>
          </w:tcPr>
          <w:p w:rsidR="00CE46FF" w:rsidRPr="0095431F" w:rsidRDefault="00CE46FF" w:rsidP="0080506C">
            <w:pPr>
              <w:jc w:val="center"/>
              <w:rPr>
                <w:sz w:val="22"/>
                <w:szCs w:val="22"/>
              </w:rPr>
            </w:pPr>
            <w:r w:rsidRPr="0095431F">
              <w:rPr>
                <w:sz w:val="22"/>
                <w:szCs w:val="22"/>
              </w:rPr>
              <w:t>980</w:t>
            </w:r>
          </w:p>
        </w:tc>
        <w:tc>
          <w:tcPr>
            <w:tcW w:w="1560" w:type="dxa"/>
            <w:vAlign w:val="center"/>
          </w:tcPr>
          <w:p w:rsidR="00CE46FF" w:rsidRPr="0095431F" w:rsidRDefault="00177C3C" w:rsidP="007B5FC8">
            <w:pPr>
              <w:jc w:val="center"/>
              <w:rPr>
                <w:rFonts w:cs="Times New Roman"/>
                <w:sz w:val="22"/>
                <w:szCs w:val="22"/>
                <w:lang w:val="uk-UA"/>
              </w:rPr>
            </w:pPr>
            <w:r>
              <w:rPr>
                <w:rFonts w:cs="Times New Roman"/>
                <w:sz w:val="22"/>
                <w:szCs w:val="22"/>
                <w:lang w:val="uk-UA"/>
              </w:rPr>
              <w:t>х</w:t>
            </w:r>
          </w:p>
        </w:tc>
        <w:tc>
          <w:tcPr>
            <w:tcW w:w="1884" w:type="dxa"/>
            <w:vAlign w:val="center"/>
          </w:tcPr>
          <w:p w:rsidR="00CE46FF" w:rsidRPr="00177C3C" w:rsidRDefault="00177C3C" w:rsidP="007B5FC8">
            <w:pPr>
              <w:jc w:val="center"/>
              <w:rPr>
                <w:rFonts w:cs="Times New Roman"/>
                <w:sz w:val="22"/>
                <w:szCs w:val="22"/>
                <w:lang w:val="uk-UA"/>
              </w:rPr>
            </w:pPr>
            <w:r>
              <w:rPr>
                <w:rFonts w:cs="Times New Roman"/>
                <w:sz w:val="22"/>
                <w:szCs w:val="22"/>
                <w:lang w:val="uk-UA"/>
              </w:rPr>
              <w:t>х</w:t>
            </w:r>
          </w:p>
        </w:tc>
      </w:tr>
      <w:tr w:rsidR="00CE46FF" w:rsidRPr="0095431F" w:rsidTr="006F5925">
        <w:trPr>
          <w:trHeight w:val="563"/>
          <w:jc w:val="center"/>
        </w:trPr>
        <w:tc>
          <w:tcPr>
            <w:tcW w:w="4609" w:type="dxa"/>
            <w:noWrap/>
            <w:hideMark/>
          </w:tcPr>
          <w:p w:rsidR="00CE46FF" w:rsidRPr="0095431F" w:rsidRDefault="00CE46FF" w:rsidP="007B5FC8">
            <w:pPr>
              <w:jc w:val="both"/>
              <w:rPr>
                <w:rFonts w:cs="Times New Roman"/>
                <w:sz w:val="22"/>
                <w:szCs w:val="22"/>
              </w:rPr>
            </w:pPr>
            <w:r w:rsidRPr="0095431F">
              <w:rPr>
                <w:rFonts w:cs="Times New Roman"/>
                <w:sz w:val="22"/>
                <w:szCs w:val="22"/>
              </w:rPr>
              <w:t>Обсяг імпорту товарів, всього</w:t>
            </w:r>
          </w:p>
        </w:tc>
        <w:tc>
          <w:tcPr>
            <w:tcW w:w="1134" w:type="dxa"/>
            <w:vAlign w:val="center"/>
            <w:hideMark/>
          </w:tcPr>
          <w:p w:rsidR="00CE46FF" w:rsidRPr="0095431F" w:rsidRDefault="00CE46FF" w:rsidP="007B5FC8">
            <w:pPr>
              <w:jc w:val="center"/>
              <w:rPr>
                <w:rFonts w:cs="Times New Roman"/>
                <w:sz w:val="22"/>
                <w:szCs w:val="22"/>
              </w:rPr>
            </w:pPr>
            <w:r w:rsidRPr="0095431F">
              <w:rPr>
                <w:rFonts w:cs="Times New Roman"/>
                <w:sz w:val="22"/>
                <w:szCs w:val="22"/>
              </w:rPr>
              <w:t>тис.дол. США</w:t>
            </w:r>
          </w:p>
        </w:tc>
        <w:tc>
          <w:tcPr>
            <w:tcW w:w="1559" w:type="dxa"/>
            <w:noWrap/>
            <w:vAlign w:val="center"/>
          </w:tcPr>
          <w:p w:rsidR="00CE46FF" w:rsidRPr="0095431F" w:rsidRDefault="00CE46FF" w:rsidP="0080506C">
            <w:pPr>
              <w:jc w:val="center"/>
              <w:rPr>
                <w:rFonts w:cs="Times New Roman"/>
                <w:sz w:val="22"/>
                <w:szCs w:val="22"/>
              </w:rPr>
            </w:pPr>
            <w:r w:rsidRPr="0095431F">
              <w:rPr>
                <w:rFonts w:cs="Times New Roman"/>
                <w:sz w:val="22"/>
                <w:szCs w:val="22"/>
              </w:rPr>
              <w:t>232 485,6</w:t>
            </w:r>
          </w:p>
        </w:tc>
        <w:tc>
          <w:tcPr>
            <w:tcW w:w="1418" w:type="dxa"/>
            <w:noWrap/>
            <w:vAlign w:val="center"/>
          </w:tcPr>
          <w:p w:rsidR="00CE46FF" w:rsidRPr="0095431F" w:rsidRDefault="00CE46FF" w:rsidP="007B5FC8">
            <w:pPr>
              <w:jc w:val="center"/>
              <w:rPr>
                <w:rFonts w:cs="Times New Roman"/>
                <w:sz w:val="22"/>
                <w:szCs w:val="22"/>
                <w:lang w:val="uk-UA"/>
              </w:rPr>
            </w:pPr>
            <w:r w:rsidRPr="0095431F">
              <w:rPr>
                <w:rFonts w:cs="Times New Roman"/>
                <w:sz w:val="22"/>
                <w:szCs w:val="22"/>
                <w:lang w:val="uk-UA"/>
              </w:rPr>
              <w:t>244 242,5</w:t>
            </w:r>
          </w:p>
        </w:tc>
        <w:tc>
          <w:tcPr>
            <w:tcW w:w="1842" w:type="dxa"/>
            <w:noWrap/>
            <w:vAlign w:val="center"/>
          </w:tcPr>
          <w:p w:rsidR="00CE46FF" w:rsidRPr="0095431F" w:rsidRDefault="00CE46FF" w:rsidP="0080506C">
            <w:pPr>
              <w:jc w:val="center"/>
              <w:rPr>
                <w:sz w:val="22"/>
                <w:szCs w:val="22"/>
              </w:rPr>
            </w:pPr>
            <w:r w:rsidRPr="0095431F">
              <w:rPr>
                <w:sz w:val="22"/>
                <w:szCs w:val="22"/>
              </w:rPr>
              <w:t>260 900,1</w:t>
            </w:r>
          </w:p>
        </w:tc>
        <w:tc>
          <w:tcPr>
            <w:tcW w:w="1560" w:type="dxa"/>
            <w:noWrap/>
            <w:vAlign w:val="center"/>
          </w:tcPr>
          <w:p w:rsidR="00CE46FF" w:rsidRPr="0095431F" w:rsidRDefault="00CE46FF" w:rsidP="007B5FC8">
            <w:pPr>
              <w:jc w:val="center"/>
              <w:rPr>
                <w:rFonts w:cs="Times New Roman"/>
                <w:sz w:val="22"/>
                <w:szCs w:val="22"/>
                <w:lang w:val="uk-UA"/>
              </w:rPr>
            </w:pPr>
            <w:r>
              <w:rPr>
                <w:rFonts w:cs="Times New Roman"/>
                <w:sz w:val="22"/>
                <w:szCs w:val="22"/>
                <w:lang w:val="uk-UA"/>
              </w:rPr>
              <w:t>237 511,8**</w:t>
            </w:r>
          </w:p>
        </w:tc>
        <w:tc>
          <w:tcPr>
            <w:tcW w:w="1884" w:type="dxa"/>
            <w:noWrap/>
            <w:vAlign w:val="center"/>
          </w:tcPr>
          <w:p w:rsidR="00CE46FF" w:rsidRPr="00177C3C" w:rsidRDefault="00177C3C" w:rsidP="007B5FC8">
            <w:pPr>
              <w:jc w:val="center"/>
              <w:rPr>
                <w:rFonts w:cs="Times New Roman"/>
                <w:sz w:val="22"/>
                <w:szCs w:val="22"/>
                <w:lang w:val="uk-UA"/>
              </w:rPr>
            </w:pPr>
            <w:r>
              <w:rPr>
                <w:rFonts w:cs="Times New Roman"/>
                <w:sz w:val="22"/>
                <w:szCs w:val="22"/>
                <w:lang w:val="uk-UA"/>
              </w:rPr>
              <w:t>х</w:t>
            </w:r>
          </w:p>
        </w:tc>
      </w:tr>
      <w:tr w:rsidR="00CE46FF" w:rsidRPr="007B5FC8" w:rsidTr="006F5925">
        <w:trPr>
          <w:trHeight w:val="841"/>
          <w:jc w:val="center"/>
        </w:trPr>
        <w:tc>
          <w:tcPr>
            <w:tcW w:w="4609" w:type="dxa"/>
            <w:hideMark/>
          </w:tcPr>
          <w:p w:rsidR="00CE46FF" w:rsidRPr="0095431F" w:rsidRDefault="00CE46FF" w:rsidP="007B5FC8">
            <w:pPr>
              <w:jc w:val="both"/>
              <w:rPr>
                <w:rFonts w:cs="Times New Roman"/>
                <w:sz w:val="22"/>
                <w:szCs w:val="22"/>
              </w:rPr>
            </w:pPr>
            <w:r w:rsidRPr="0095431F">
              <w:rPr>
                <w:rFonts w:cs="Times New Roman"/>
                <w:sz w:val="22"/>
                <w:szCs w:val="22"/>
              </w:rPr>
              <w:t>Темп зростання (зменшення) імпорту товарів, відсотків до відповідного періоду попереднього року</w:t>
            </w:r>
          </w:p>
        </w:tc>
        <w:tc>
          <w:tcPr>
            <w:tcW w:w="1134" w:type="dxa"/>
            <w:vAlign w:val="center"/>
            <w:hideMark/>
          </w:tcPr>
          <w:p w:rsidR="00CE46FF" w:rsidRPr="0095431F" w:rsidRDefault="00CE46FF" w:rsidP="007B5FC8">
            <w:pPr>
              <w:jc w:val="center"/>
              <w:rPr>
                <w:rFonts w:cs="Times New Roman"/>
                <w:sz w:val="22"/>
                <w:szCs w:val="22"/>
              </w:rPr>
            </w:pPr>
            <w:r w:rsidRPr="0095431F">
              <w:rPr>
                <w:rFonts w:cs="Times New Roman"/>
                <w:sz w:val="22"/>
                <w:szCs w:val="22"/>
              </w:rPr>
              <w:t>%</w:t>
            </w:r>
          </w:p>
        </w:tc>
        <w:tc>
          <w:tcPr>
            <w:tcW w:w="1559" w:type="dxa"/>
            <w:vAlign w:val="center"/>
          </w:tcPr>
          <w:p w:rsidR="00CE46FF" w:rsidRPr="0095431F" w:rsidRDefault="00CE46FF" w:rsidP="0080506C">
            <w:pPr>
              <w:jc w:val="center"/>
              <w:rPr>
                <w:rFonts w:cs="Times New Roman"/>
                <w:sz w:val="22"/>
                <w:szCs w:val="22"/>
              </w:rPr>
            </w:pPr>
            <w:r w:rsidRPr="0095431F">
              <w:rPr>
                <w:rFonts w:cs="Times New Roman"/>
                <w:sz w:val="22"/>
                <w:szCs w:val="22"/>
              </w:rPr>
              <w:t>118,1</w:t>
            </w:r>
          </w:p>
        </w:tc>
        <w:tc>
          <w:tcPr>
            <w:tcW w:w="1418" w:type="dxa"/>
            <w:vAlign w:val="center"/>
          </w:tcPr>
          <w:p w:rsidR="00CE46FF" w:rsidRPr="0095431F" w:rsidRDefault="00CE46FF" w:rsidP="007B5FC8">
            <w:pPr>
              <w:jc w:val="center"/>
              <w:rPr>
                <w:rFonts w:cs="Times New Roman"/>
                <w:sz w:val="22"/>
                <w:szCs w:val="22"/>
                <w:lang w:val="uk-UA"/>
              </w:rPr>
            </w:pPr>
            <w:r w:rsidRPr="0095431F">
              <w:rPr>
                <w:rFonts w:cs="Times New Roman"/>
                <w:sz w:val="22"/>
                <w:szCs w:val="22"/>
                <w:lang w:val="uk-UA"/>
              </w:rPr>
              <w:t>105,1</w:t>
            </w:r>
          </w:p>
        </w:tc>
        <w:tc>
          <w:tcPr>
            <w:tcW w:w="1842" w:type="dxa"/>
            <w:vAlign w:val="center"/>
          </w:tcPr>
          <w:p w:rsidR="00CE46FF" w:rsidRPr="0095431F" w:rsidRDefault="00CE46FF" w:rsidP="007B5FC8">
            <w:pPr>
              <w:jc w:val="center"/>
              <w:rPr>
                <w:rFonts w:cs="Times New Roman"/>
                <w:sz w:val="22"/>
                <w:szCs w:val="22"/>
                <w:lang w:val="uk-UA"/>
              </w:rPr>
            </w:pPr>
            <w:r>
              <w:rPr>
                <w:rFonts w:cs="Times New Roman"/>
                <w:sz w:val="22"/>
                <w:szCs w:val="22"/>
                <w:lang w:val="uk-UA"/>
              </w:rPr>
              <w:t>103,0</w:t>
            </w:r>
          </w:p>
        </w:tc>
        <w:tc>
          <w:tcPr>
            <w:tcW w:w="1560" w:type="dxa"/>
            <w:vAlign w:val="center"/>
          </w:tcPr>
          <w:p w:rsidR="00CE46FF" w:rsidRPr="0095431F" w:rsidRDefault="00CE46FF" w:rsidP="007B5FC8">
            <w:pPr>
              <w:jc w:val="center"/>
              <w:rPr>
                <w:rFonts w:cs="Times New Roman"/>
                <w:sz w:val="22"/>
                <w:szCs w:val="22"/>
                <w:lang w:val="uk-UA"/>
              </w:rPr>
            </w:pPr>
            <w:r>
              <w:rPr>
                <w:rFonts w:cs="Times New Roman"/>
                <w:sz w:val="22"/>
                <w:szCs w:val="22"/>
                <w:lang w:val="uk-UA"/>
              </w:rPr>
              <w:t>105,9**</w:t>
            </w:r>
          </w:p>
        </w:tc>
        <w:tc>
          <w:tcPr>
            <w:tcW w:w="1884" w:type="dxa"/>
            <w:vAlign w:val="center"/>
          </w:tcPr>
          <w:p w:rsidR="00CE46FF" w:rsidRPr="00177C3C" w:rsidRDefault="00177C3C" w:rsidP="007B5FC8">
            <w:pPr>
              <w:jc w:val="center"/>
              <w:rPr>
                <w:rFonts w:cs="Times New Roman"/>
                <w:sz w:val="22"/>
                <w:szCs w:val="22"/>
                <w:lang w:val="uk-UA"/>
              </w:rPr>
            </w:pPr>
            <w:r>
              <w:rPr>
                <w:rFonts w:cs="Times New Roman"/>
                <w:sz w:val="22"/>
                <w:szCs w:val="22"/>
                <w:lang w:val="uk-UA"/>
              </w:rPr>
              <w:t>х</w:t>
            </w:r>
          </w:p>
        </w:tc>
      </w:tr>
      <w:tr w:rsidR="00CE46FF" w:rsidRPr="007B5FC8" w:rsidTr="00B07213">
        <w:trPr>
          <w:trHeight w:val="413"/>
          <w:jc w:val="center"/>
        </w:trPr>
        <w:tc>
          <w:tcPr>
            <w:tcW w:w="14006" w:type="dxa"/>
            <w:gridSpan w:val="7"/>
            <w:vAlign w:val="center"/>
            <w:hideMark/>
          </w:tcPr>
          <w:p w:rsidR="00CE46FF" w:rsidRPr="00993E43" w:rsidRDefault="00CE46FF" w:rsidP="007B5FC8">
            <w:pPr>
              <w:jc w:val="center"/>
              <w:rPr>
                <w:rFonts w:cs="Times New Roman"/>
                <w:sz w:val="22"/>
                <w:szCs w:val="22"/>
              </w:rPr>
            </w:pPr>
            <w:r w:rsidRPr="00993E43">
              <w:rPr>
                <w:rFonts w:cs="Times New Roman"/>
                <w:sz w:val="22"/>
                <w:szCs w:val="22"/>
                <w:u w:val="single"/>
              </w:rPr>
              <w:t>БУДІВЕЛЬНА ДІЯЛЬНІСТЬ</w:t>
            </w:r>
          </w:p>
        </w:tc>
      </w:tr>
      <w:tr w:rsidR="00CE46FF" w:rsidRPr="007B5FC8" w:rsidTr="00993E43">
        <w:trPr>
          <w:trHeight w:val="480"/>
          <w:jc w:val="center"/>
        </w:trPr>
        <w:tc>
          <w:tcPr>
            <w:tcW w:w="4609" w:type="dxa"/>
            <w:hideMark/>
          </w:tcPr>
          <w:p w:rsidR="00CE46FF" w:rsidRPr="00993E43" w:rsidRDefault="00CE46FF" w:rsidP="007B5FC8">
            <w:pPr>
              <w:jc w:val="both"/>
              <w:rPr>
                <w:rFonts w:cs="Times New Roman"/>
                <w:sz w:val="22"/>
                <w:szCs w:val="22"/>
              </w:rPr>
            </w:pPr>
            <w:r w:rsidRPr="00993E43">
              <w:rPr>
                <w:rFonts w:cs="Times New Roman"/>
                <w:sz w:val="22"/>
                <w:szCs w:val="22"/>
              </w:rPr>
              <w:t>Обсяг виконаних будівельних робіт, всього</w:t>
            </w:r>
          </w:p>
        </w:tc>
        <w:tc>
          <w:tcPr>
            <w:tcW w:w="1134" w:type="dxa"/>
            <w:vAlign w:val="center"/>
            <w:hideMark/>
          </w:tcPr>
          <w:p w:rsidR="00CE46FF" w:rsidRPr="00993E43" w:rsidRDefault="00CE46FF" w:rsidP="007B5FC8">
            <w:pPr>
              <w:jc w:val="center"/>
              <w:rPr>
                <w:rFonts w:cs="Times New Roman"/>
                <w:sz w:val="22"/>
                <w:szCs w:val="22"/>
              </w:rPr>
            </w:pPr>
            <w:r w:rsidRPr="00993E43">
              <w:rPr>
                <w:rFonts w:cs="Times New Roman"/>
                <w:sz w:val="22"/>
                <w:szCs w:val="22"/>
              </w:rPr>
              <w:t>тис.грн.</w:t>
            </w:r>
          </w:p>
        </w:tc>
        <w:tc>
          <w:tcPr>
            <w:tcW w:w="1559" w:type="dxa"/>
            <w:vAlign w:val="center"/>
          </w:tcPr>
          <w:p w:rsidR="00CE46FF" w:rsidRPr="00993E43" w:rsidRDefault="00CE46FF" w:rsidP="0080506C">
            <w:pPr>
              <w:jc w:val="center"/>
              <w:rPr>
                <w:rFonts w:cs="Times New Roman"/>
                <w:sz w:val="22"/>
                <w:szCs w:val="22"/>
              </w:rPr>
            </w:pPr>
            <w:r w:rsidRPr="00993E43">
              <w:rPr>
                <w:rFonts w:cs="Times New Roman"/>
                <w:sz w:val="22"/>
                <w:szCs w:val="22"/>
              </w:rPr>
              <w:t>1 543 682,0</w:t>
            </w:r>
          </w:p>
        </w:tc>
        <w:tc>
          <w:tcPr>
            <w:tcW w:w="1418" w:type="dxa"/>
            <w:vAlign w:val="center"/>
          </w:tcPr>
          <w:p w:rsidR="00CE46FF" w:rsidRPr="00993E43" w:rsidRDefault="00CE46FF" w:rsidP="00993E43">
            <w:pPr>
              <w:jc w:val="center"/>
              <w:rPr>
                <w:rFonts w:cs="Times New Roman"/>
                <w:sz w:val="22"/>
                <w:szCs w:val="22"/>
                <w:lang w:val="uk-UA"/>
              </w:rPr>
            </w:pPr>
            <w:r w:rsidRPr="00993E43">
              <w:rPr>
                <w:rFonts w:cs="Times New Roman"/>
                <w:sz w:val="22"/>
                <w:szCs w:val="22"/>
                <w:lang w:val="uk-UA"/>
              </w:rPr>
              <w:t>2 289 552</w:t>
            </w:r>
            <w:r>
              <w:rPr>
                <w:rFonts w:cs="Times New Roman"/>
                <w:sz w:val="22"/>
                <w:szCs w:val="22"/>
                <w:lang w:val="uk-UA"/>
              </w:rPr>
              <w:t>,0</w:t>
            </w:r>
          </w:p>
        </w:tc>
        <w:tc>
          <w:tcPr>
            <w:tcW w:w="1842" w:type="dxa"/>
            <w:vAlign w:val="center"/>
          </w:tcPr>
          <w:p w:rsidR="00CE46FF" w:rsidRPr="00993E43" w:rsidRDefault="00CE46FF" w:rsidP="0080506C">
            <w:pPr>
              <w:jc w:val="center"/>
              <w:rPr>
                <w:sz w:val="22"/>
                <w:szCs w:val="22"/>
              </w:rPr>
            </w:pPr>
            <w:r w:rsidRPr="00993E43">
              <w:rPr>
                <w:sz w:val="22"/>
                <w:szCs w:val="22"/>
              </w:rPr>
              <w:t>2 243 544</w:t>
            </w:r>
          </w:p>
        </w:tc>
        <w:tc>
          <w:tcPr>
            <w:tcW w:w="1560" w:type="dxa"/>
            <w:vAlign w:val="center"/>
          </w:tcPr>
          <w:p w:rsidR="00CE46FF" w:rsidRPr="00FE6921" w:rsidRDefault="00177C3C" w:rsidP="00177C3C">
            <w:pPr>
              <w:jc w:val="center"/>
              <w:rPr>
                <w:rFonts w:cs="Times New Roman"/>
                <w:sz w:val="22"/>
                <w:szCs w:val="22"/>
                <w:lang w:val="uk-UA"/>
              </w:rPr>
            </w:pPr>
            <w:r>
              <w:rPr>
                <w:rFonts w:cs="Times New Roman"/>
                <w:sz w:val="22"/>
                <w:szCs w:val="22"/>
                <w:lang w:val="uk-UA"/>
              </w:rPr>
              <w:t>2 357 908</w:t>
            </w:r>
          </w:p>
        </w:tc>
        <w:tc>
          <w:tcPr>
            <w:tcW w:w="1884" w:type="dxa"/>
            <w:vAlign w:val="center"/>
          </w:tcPr>
          <w:p w:rsidR="00CE46FF" w:rsidRPr="00177C3C" w:rsidRDefault="00177C3C" w:rsidP="007B5FC8">
            <w:pPr>
              <w:jc w:val="center"/>
              <w:rPr>
                <w:rFonts w:cs="Times New Roman"/>
                <w:sz w:val="22"/>
                <w:szCs w:val="22"/>
                <w:lang w:val="uk-UA"/>
              </w:rPr>
            </w:pPr>
            <w:r>
              <w:rPr>
                <w:rFonts w:cs="Times New Roman"/>
                <w:sz w:val="22"/>
                <w:szCs w:val="22"/>
                <w:lang w:val="uk-UA"/>
              </w:rPr>
              <w:t>103%</w:t>
            </w:r>
          </w:p>
        </w:tc>
      </w:tr>
      <w:tr w:rsidR="00CE46FF" w:rsidRPr="007B5FC8" w:rsidTr="00993E43">
        <w:trPr>
          <w:trHeight w:val="497"/>
          <w:jc w:val="center"/>
        </w:trPr>
        <w:tc>
          <w:tcPr>
            <w:tcW w:w="4609" w:type="dxa"/>
            <w:hideMark/>
          </w:tcPr>
          <w:p w:rsidR="00CE46FF" w:rsidRPr="00993E43" w:rsidRDefault="00CE46FF" w:rsidP="007B5FC8">
            <w:pPr>
              <w:jc w:val="both"/>
              <w:rPr>
                <w:rFonts w:cs="Times New Roman"/>
                <w:sz w:val="22"/>
                <w:szCs w:val="22"/>
              </w:rPr>
            </w:pPr>
            <w:r w:rsidRPr="00993E43">
              <w:rPr>
                <w:rFonts w:cs="Times New Roman"/>
                <w:sz w:val="22"/>
                <w:szCs w:val="22"/>
              </w:rPr>
              <w:t>Обсяг виконаних будівельних робіт у розрахунку на одну особу, всього</w:t>
            </w:r>
          </w:p>
        </w:tc>
        <w:tc>
          <w:tcPr>
            <w:tcW w:w="1134" w:type="dxa"/>
            <w:vAlign w:val="center"/>
            <w:hideMark/>
          </w:tcPr>
          <w:p w:rsidR="00CE46FF" w:rsidRPr="00993E43" w:rsidRDefault="00CE46FF" w:rsidP="007B5FC8">
            <w:pPr>
              <w:jc w:val="center"/>
              <w:rPr>
                <w:rFonts w:cs="Times New Roman"/>
                <w:sz w:val="22"/>
                <w:szCs w:val="22"/>
              </w:rPr>
            </w:pPr>
            <w:r w:rsidRPr="00993E43">
              <w:rPr>
                <w:rFonts w:cs="Times New Roman"/>
                <w:sz w:val="22"/>
                <w:szCs w:val="22"/>
              </w:rPr>
              <w:t>грн.</w:t>
            </w:r>
          </w:p>
        </w:tc>
        <w:tc>
          <w:tcPr>
            <w:tcW w:w="1559" w:type="dxa"/>
            <w:vAlign w:val="center"/>
          </w:tcPr>
          <w:p w:rsidR="00CE46FF" w:rsidRPr="00993E43" w:rsidRDefault="00CE46FF" w:rsidP="0080506C">
            <w:pPr>
              <w:jc w:val="center"/>
              <w:rPr>
                <w:rFonts w:cs="Times New Roman"/>
                <w:sz w:val="22"/>
                <w:szCs w:val="22"/>
              </w:rPr>
            </w:pPr>
            <w:r w:rsidRPr="00993E43">
              <w:rPr>
                <w:rFonts w:cs="Times New Roman"/>
                <w:sz w:val="22"/>
                <w:szCs w:val="22"/>
              </w:rPr>
              <w:t>6 096,7</w:t>
            </w:r>
          </w:p>
        </w:tc>
        <w:tc>
          <w:tcPr>
            <w:tcW w:w="1418" w:type="dxa"/>
            <w:vAlign w:val="center"/>
          </w:tcPr>
          <w:p w:rsidR="00CE46FF" w:rsidRPr="00993E43" w:rsidRDefault="00CE46FF" w:rsidP="007B5FC8">
            <w:pPr>
              <w:jc w:val="center"/>
              <w:rPr>
                <w:rFonts w:cs="Times New Roman"/>
                <w:sz w:val="22"/>
                <w:szCs w:val="22"/>
                <w:lang w:val="uk-UA"/>
              </w:rPr>
            </w:pPr>
            <w:r>
              <w:rPr>
                <w:rFonts w:cs="Times New Roman"/>
                <w:sz w:val="22"/>
                <w:szCs w:val="22"/>
                <w:lang w:val="uk-UA"/>
              </w:rPr>
              <w:t>8 934,5</w:t>
            </w:r>
          </w:p>
        </w:tc>
        <w:tc>
          <w:tcPr>
            <w:tcW w:w="1842" w:type="dxa"/>
            <w:vAlign w:val="center"/>
          </w:tcPr>
          <w:p w:rsidR="00CE46FF" w:rsidRPr="00993E43" w:rsidRDefault="00CE46FF" w:rsidP="0080506C">
            <w:pPr>
              <w:jc w:val="center"/>
              <w:rPr>
                <w:sz w:val="22"/>
                <w:szCs w:val="22"/>
              </w:rPr>
            </w:pPr>
            <w:r w:rsidRPr="00993E43">
              <w:rPr>
                <w:sz w:val="22"/>
                <w:szCs w:val="22"/>
              </w:rPr>
              <w:t>8 563,1</w:t>
            </w:r>
          </w:p>
        </w:tc>
        <w:tc>
          <w:tcPr>
            <w:tcW w:w="1560" w:type="dxa"/>
            <w:vAlign w:val="center"/>
          </w:tcPr>
          <w:p w:rsidR="00CE46FF" w:rsidRPr="00177C3C" w:rsidRDefault="00177C3C" w:rsidP="007B5FC8">
            <w:pPr>
              <w:jc w:val="center"/>
              <w:rPr>
                <w:rFonts w:cs="Times New Roman"/>
                <w:sz w:val="22"/>
                <w:szCs w:val="22"/>
                <w:lang w:val="uk-UA"/>
              </w:rPr>
            </w:pPr>
            <w:r>
              <w:rPr>
                <w:rFonts w:cs="Times New Roman"/>
                <w:sz w:val="22"/>
                <w:szCs w:val="22"/>
                <w:lang w:val="uk-UA"/>
              </w:rPr>
              <w:t>9 928,1</w:t>
            </w:r>
          </w:p>
        </w:tc>
        <w:tc>
          <w:tcPr>
            <w:tcW w:w="1884" w:type="dxa"/>
            <w:vAlign w:val="center"/>
          </w:tcPr>
          <w:p w:rsidR="00CE46FF" w:rsidRPr="00177C3C" w:rsidRDefault="00177C3C" w:rsidP="007B5FC8">
            <w:pPr>
              <w:jc w:val="center"/>
              <w:rPr>
                <w:rFonts w:cs="Times New Roman"/>
                <w:sz w:val="22"/>
                <w:szCs w:val="22"/>
                <w:lang w:val="uk-UA"/>
              </w:rPr>
            </w:pPr>
            <w:r>
              <w:rPr>
                <w:rFonts w:cs="Times New Roman"/>
                <w:sz w:val="22"/>
                <w:szCs w:val="22"/>
                <w:lang w:val="uk-UA"/>
              </w:rPr>
              <w:t>111%</w:t>
            </w:r>
          </w:p>
        </w:tc>
      </w:tr>
      <w:tr w:rsidR="00CE46FF" w:rsidRPr="007B5FC8" w:rsidTr="00993E43">
        <w:trPr>
          <w:trHeight w:val="547"/>
          <w:jc w:val="center"/>
        </w:trPr>
        <w:tc>
          <w:tcPr>
            <w:tcW w:w="4609" w:type="dxa"/>
            <w:hideMark/>
          </w:tcPr>
          <w:p w:rsidR="00CE46FF" w:rsidRPr="00993E43" w:rsidRDefault="00CE46FF" w:rsidP="007B5FC8">
            <w:pPr>
              <w:jc w:val="both"/>
              <w:rPr>
                <w:rFonts w:cs="Times New Roman"/>
                <w:sz w:val="22"/>
                <w:szCs w:val="22"/>
              </w:rPr>
            </w:pPr>
            <w:r w:rsidRPr="00993E43">
              <w:rPr>
                <w:rFonts w:cs="Times New Roman"/>
                <w:sz w:val="22"/>
                <w:szCs w:val="22"/>
              </w:rPr>
              <w:t xml:space="preserve">Індекс будівельної </w:t>
            </w:r>
            <w:proofErr w:type="gramStart"/>
            <w:r w:rsidRPr="00993E43">
              <w:rPr>
                <w:rFonts w:cs="Times New Roman"/>
                <w:sz w:val="22"/>
                <w:szCs w:val="22"/>
              </w:rPr>
              <w:t>продукції,  відсотків</w:t>
            </w:r>
            <w:proofErr w:type="gramEnd"/>
            <w:r w:rsidRPr="00993E43">
              <w:rPr>
                <w:rFonts w:cs="Times New Roman"/>
                <w:sz w:val="22"/>
                <w:szCs w:val="22"/>
              </w:rPr>
              <w:t xml:space="preserve"> до попереднього року</w:t>
            </w:r>
          </w:p>
        </w:tc>
        <w:tc>
          <w:tcPr>
            <w:tcW w:w="1134" w:type="dxa"/>
            <w:vAlign w:val="center"/>
            <w:hideMark/>
          </w:tcPr>
          <w:p w:rsidR="00CE46FF" w:rsidRPr="00993E43" w:rsidRDefault="00CE46FF" w:rsidP="007B5FC8">
            <w:pPr>
              <w:jc w:val="center"/>
              <w:rPr>
                <w:rFonts w:cs="Times New Roman"/>
                <w:sz w:val="22"/>
                <w:szCs w:val="22"/>
              </w:rPr>
            </w:pPr>
            <w:r w:rsidRPr="00993E43">
              <w:rPr>
                <w:rFonts w:cs="Times New Roman"/>
                <w:sz w:val="22"/>
                <w:szCs w:val="22"/>
              </w:rPr>
              <w:t>%</w:t>
            </w:r>
          </w:p>
        </w:tc>
        <w:tc>
          <w:tcPr>
            <w:tcW w:w="1559" w:type="dxa"/>
            <w:vAlign w:val="center"/>
          </w:tcPr>
          <w:p w:rsidR="00CE46FF" w:rsidRPr="00993E43" w:rsidRDefault="00CE46FF" w:rsidP="0080506C">
            <w:pPr>
              <w:jc w:val="center"/>
              <w:rPr>
                <w:rFonts w:cs="Times New Roman"/>
                <w:sz w:val="22"/>
                <w:szCs w:val="22"/>
              </w:rPr>
            </w:pPr>
            <w:r w:rsidRPr="00993E43">
              <w:rPr>
                <w:rFonts w:cs="Times New Roman"/>
                <w:sz w:val="22"/>
                <w:szCs w:val="22"/>
              </w:rPr>
              <w:t>131,9</w:t>
            </w:r>
          </w:p>
        </w:tc>
        <w:tc>
          <w:tcPr>
            <w:tcW w:w="1418" w:type="dxa"/>
            <w:vAlign w:val="center"/>
          </w:tcPr>
          <w:p w:rsidR="00CE46FF" w:rsidRPr="00993E43" w:rsidRDefault="00CE46FF" w:rsidP="007B5FC8">
            <w:pPr>
              <w:jc w:val="center"/>
              <w:rPr>
                <w:rFonts w:cs="Times New Roman"/>
                <w:sz w:val="22"/>
                <w:szCs w:val="22"/>
                <w:lang w:val="uk-UA"/>
              </w:rPr>
            </w:pPr>
            <w:r>
              <w:rPr>
                <w:rFonts w:cs="Times New Roman"/>
                <w:sz w:val="22"/>
                <w:szCs w:val="22"/>
                <w:lang w:val="uk-UA"/>
              </w:rPr>
              <w:t>121,3</w:t>
            </w:r>
          </w:p>
        </w:tc>
        <w:tc>
          <w:tcPr>
            <w:tcW w:w="1842" w:type="dxa"/>
            <w:vAlign w:val="center"/>
          </w:tcPr>
          <w:p w:rsidR="00CE46FF" w:rsidRPr="00993E43" w:rsidRDefault="00CE46FF" w:rsidP="0080506C">
            <w:pPr>
              <w:jc w:val="center"/>
              <w:rPr>
                <w:sz w:val="22"/>
                <w:szCs w:val="22"/>
              </w:rPr>
            </w:pPr>
            <w:r w:rsidRPr="00993E43">
              <w:rPr>
                <w:sz w:val="22"/>
                <w:szCs w:val="22"/>
              </w:rPr>
              <w:t>110,0%</w:t>
            </w:r>
          </w:p>
        </w:tc>
        <w:tc>
          <w:tcPr>
            <w:tcW w:w="1560" w:type="dxa"/>
            <w:vAlign w:val="center"/>
          </w:tcPr>
          <w:p w:rsidR="00CE46FF" w:rsidRPr="00FE6921" w:rsidRDefault="00CE46FF" w:rsidP="007B5FC8">
            <w:pPr>
              <w:jc w:val="center"/>
              <w:rPr>
                <w:rFonts w:cs="Times New Roman"/>
                <w:sz w:val="22"/>
                <w:szCs w:val="22"/>
                <w:lang w:val="uk-UA"/>
              </w:rPr>
            </w:pPr>
            <w:r>
              <w:rPr>
                <w:rFonts w:cs="Times New Roman"/>
                <w:sz w:val="22"/>
                <w:szCs w:val="22"/>
                <w:lang w:val="uk-UA"/>
              </w:rPr>
              <w:t>92,7%</w:t>
            </w:r>
          </w:p>
        </w:tc>
        <w:tc>
          <w:tcPr>
            <w:tcW w:w="1884" w:type="dxa"/>
            <w:vAlign w:val="center"/>
          </w:tcPr>
          <w:p w:rsidR="00CE46FF" w:rsidRPr="00177C3C" w:rsidRDefault="00177C3C" w:rsidP="007B5FC8">
            <w:pPr>
              <w:jc w:val="center"/>
              <w:rPr>
                <w:rFonts w:cs="Times New Roman"/>
                <w:sz w:val="22"/>
                <w:szCs w:val="22"/>
                <w:lang w:val="uk-UA"/>
              </w:rPr>
            </w:pPr>
            <w:r>
              <w:rPr>
                <w:rFonts w:cs="Times New Roman"/>
                <w:sz w:val="22"/>
                <w:szCs w:val="22"/>
                <w:lang w:val="uk-UA"/>
              </w:rPr>
              <w:t>х</w:t>
            </w:r>
          </w:p>
        </w:tc>
      </w:tr>
      <w:tr w:rsidR="00CE46FF" w:rsidRPr="007B5FC8" w:rsidTr="00993E43">
        <w:trPr>
          <w:trHeight w:val="526"/>
          <w:jc w:val="center"/>
        </w:trPr>
        <w:tc>
          <w:tcPr>
            <w:tcW w:w="4609" w:type="dxa"/>
            <w:hideMark/>
          </w:tcPr>
          <w:p w:rsidR="00CE46FF" w:rsidRPr="00993E43" w:rsidRDefault="00CE46FF" w:rsidP="007B5FC8">
            <w:pPr>
              <w:jc w:val="both"/>
              <w:rPr>
                <w:rFonts w:cs="Times New Roman"/>
                <w:sz w:val="22"/>
                <w:szCs w:val="22"/>
              </w:rPr>
            </w:pPr>
            <w:r w:rsidRPr="00993E43">
              <w:rPr>
                <w:rFonts w:cs="Times New Roman"/>
                <w:sz w:val="22"/>
                <w:szCs w:val="22"/>
              </w:rPr>
              <w:t>Введення в експлуатацію об</w:t>
            </w:r>
            <w:r w:rsidRPr="00993E43">
              <w:rPr>
                <w:rFonts w:cs="Times New Roman"/>
                <w:sz w:val="22"/>
                <w:szCs w:val="22"/>
                <w:lang w:val="uk-UA"/>
              </w:rPr>
              <w:t>ʼ</w:t>
            </w:r>
            <w:r w:rsidRPr="00993E43">
              <w:rPr>
                <w:rFonts w:cs="Times New Roman"/>
                <w:sz w:val="22"/>
                <w:szCs w:val="22"/>
              </w:rPr>
              <w:t>єктів соціальної сфери за рахунок усіх джерел фінансування:</w:t>
            </w:r>
          </w:p>
        </w:tc>
        <w:tc>
          <w:tcPr>
            <w:tcW w:w="1134" w:type="dxa"/>
            <w:vAlign w:val="center"/>
            <w:hideMark/>
          </w:tcPr>
          <w:p w:rsidR="00CE46FF" w:rsidRPr="00993E43" w:rsidRDefault="00CE46FF" w:rsidP="007B5FC8">
            <w:pPr>
              <w:jc w:val="center"/>
              <w:rPr>
                <w:rFonts w:cs="Times New Roman"/>
                <w:sz w:val="22"/>
                <w:szCs w:val="22"/>
              </w:rPr>
            </w:pPr>
          </w:p>
        </w:tc>
        <w:tc>
          <w:tcPr>
            <w:tcW w:w="1559" w:type="dxa"/>
            <w:vAlign w:val="center"/>
          </w:tcPr>
          <w:p w:rsidR="00CE46FF" w:rsidRPr="00993E43" w:rsidRDefault="00CE46FF" w:rsidP="0080506C">
            <w:pPr>
              <w:jc w:val="center"/>
              <w:rPr>
                <w:rFonts w:cs="Times New Roman"/>
                <w:sz w:val="22"/>
                <w:szCs w:val="22"/>
              </w:rPr>
            </w:pPr>
          </w:p>
        </w:tc>
        <w:tc>
          <w:tcPr>
            <w:tcW w:w="1418" w:type="dxa"/>
            <w:vAlign w:val="center"/>
          </w:tcPr>
          <w:p w:rsidR="00CE46FF" w:rsidRPr="00993E43" w:rsidRDefault="00CE46FF" w:rsidP="007B5FC8">
            <w:pPr>
              <w:jc w:val="center"/>
              <w:rPr>
                <w:rFonts w:cs="Times New Roman"/>
                <w:sz w:val="22"/>
                <w:szCs w:val="22"/>
              </w:rPr>
            </w:pPr>
          </w:p>
        </w:tc>
        <w:tc>
          <w:tcPr>
            <w:tcW w:w="1842" w:type="dxa"/>
            <w:vAlign w:val="center"/>
          </w:tcPr>
          <w:p w:rsidR="00CE46FF" w:rsidRPr="00993E43" w:rsidRDefault="00CE46FF" w:rsidP="007B5FC8">
            <w:pPr>
              <w:jc w:val="center"/>
              <w:rPr>
                <w:rFonts w:cs="Times New Roman"/>
                <w:sz w:val="22"/>
                <w:szCs w:val="22"/>
              </w:rPr>
            </w:pPr>
          </w:p>
        </w:tc>
        <w:tc>
          <w:tcPr>
            <w:tcW w:w="1560" w:type="dxa"/>
            <w:vAlign w:val="center"/>
          </w:tcPr>
          <w:p w:rsidR="00CE46FF" w:rsidRPr="00993E43" w:rsidRDefault="00CE46FF" w:rsidP="007B5FC8">
            <w:pPr>
              <w:jc w:val="center"/>
              <w:rPr>
                <w:rFonts w:cs="Times New Roman"/>
                <w:sz w:val="22"/>
                <w:szCs w:val="22"/>
              </w:rPr>
            </w:pPr>
          </w:p>
        </w:tc>
        <w:tc>
          <w:tcPr>
            <w:tcW w:w="1884" w:type="dxa"/>
            <w:vAlign w:val="center"/>
          </w:tcPr>
          <w:p w:rsidR="00CE46FF" w:rsidRPr="00993E43" w:rsidRDefault="00CE46FF" w:rsidP="007B5FC8">
            <w:pPr>
              <w:jc w:val="center"/>
              <w:rPr>
                <w:rFonts w:cs="Times New Roman"/>
                <w:sz w:val="22"/>
                <w:szCs w:val="22"/>
              </w:rPr>
            </w:pPr>
          </w:p>
        </w:tc>
      </w:tr>
      <w:tr w:rsidR="00CE46FF" w:rsidRPr="007B5FC8" w:rsidTr="00993E43">
        <w:trPr>
          <w:trHeight w:val="510"/>
          <w:jc w:val="center"/>
        </w:trPr>
        <w:tc>
          <w:tcPr>
            <w:tcW w:w="4609" w:type="dxa"/>
            <w:hideMark/>
          </w:tcPr>
          <w:p w:rsidR="00CE46FF" w:rsidRPr="00993E43" w:rsidRDefault="00CE46FF" w:rsidP="007B5FC8">
            <w:pPr>
              <w:rPr>
                <w:rFonts w:cs="Times New Roman"/>
                <w:sz w:val="22"/>
                <w:szCs w:val="22"/>
              </w:rPr>
            </w:pPr>
            <w:r w:rsidRPr="00993E43">
              <w:rPr>
                <w:rFonts w:cs="Times New Roman"/>
                <w:sz w:val="22"/>
                <w:szCs w:val="22"/>
              </w:rPr>
              <w:t>Загальна площа житла</w:t>
            </w:r>
          </w:p>
        </w:tc>
        <w:tc>
          <w:tcPr>
            <w:tcW w:w="1134" w:type="dxa"/>
            <w:vAlign w:val="center"/>
            <w:hideMark/>
          </w:tcPr>
          <w:p w:rsidR="00CE46FF" w:rsidRPr="00993E43" w:rsidRDefault="00CE46FF" w:rsidP="007B5FC8">
            <w:pPr>
              <w:jc w:val="center"/>
              <w:rPr>
                <w:rFonts w:cs="Times New Roman"/>
                <w:sz w:val="22"/>
                <w:szCs w:val="22"/>
              </w:rPr>
            </w:pPr>
            <w:r w:rsidRPr="00993E43">
              <w:rPr>
                <w:rFonts w:cs="Times New Roman"/>
                <w:sz w:val="22"/>
                <w:szCs w:val="22"/>
              </w:rPr>
              <w:t>тис. кв.м</w:t>
            </w:r>
          </w:p>
        </w:tc>
        <w:tc>
          <w:tcPr>
            <w:tcW w:w="1559" w:type="dxa"/>
            <w:vAlign w:val="center"/>
          </w:tcPr>
          <w:p w:rsidR="00CE46FF" w:rsidRPr="00993E43" w:rsidRDefault="00CE46FF" w:rsidP="0080506C">
            <w:pPr>
              <w:jc w:val="center"/>
              <w:rPr>
                <w:rFonts w:cs="Times New Roman"/>
                <w:sz w:val="22"/>
                <w:szCs w:val="22"/>
              </w:rPr>
            </w:pPr>
            <w:r w:rsidRPr="00993E43">
              <w:rPr>
                <w:rFonts w:cs="Times New Roman"/>
                <w:sz w:val="22"/>
                <w:szCs w:val="22"/>
              </w:rPr>
              <w:t>218,3</w:t>
            </w:r>
          </w:p>
        </w:tc>
        <w:tc>
          <w:tcPr>
            <w:tcW w:w="1418" w:type="dxa"/>
            <w:vAlign w:val="center"/>
          </w:tcPr>
          <w:p w:rsidR="00CE46FF" w:rsidRPr="007B287D" w:rsidRDefault="00CE46FF" w:rsidP="007B5FC8">
            <w:pPr>
              <w:jc w:val="center"/>
              <w:rPr>
                <w:rFonts w:cs="Times New Roman"/>
                <w:sz w:val="22"/>
                <w:szCs w:val="22"/>
                <w:lang w:val="uk-UA"/>
              </w:rPr>
            </w:pPr>
            <w:r>
              <w:rPr>
                <w:rFonts w:cs="Times New Roman"/>
                <w:sz w:val="22"/>
                <w:szCs w:val="22"/>
                <w:lang w:val="uk-UA"/>
              </w:rPr>
              <w:t>89,5</w:t>
            </w:r>
          </w:p>
        </w:tc>
        <w:tc>
          <w:tcPr>
            <w:tcW w:w="1842" w:type="dxa"/>
            <w:vAlign w:val="center"/>
          </w:tcPr>
          <w:p w:rsidR="00CE46FF" w:rsidRPr="007B287D" w:rsidRDefault="00CE46FF" w:rsidP="007B287D">
            <w:pPr>
              <w:jc w:val="center"/>
              <w:rPr>
                <w:rFonts w:cs="Times New Roman"/>
                <w:sz w:val="22"/>
                <w:szCs w:val="22"/>
              </w:rPr>
            </w:pPr>
            <w:r w:rsidRPr="007B287D">
              <w:rPr>
                <w:sz w:val="22"/>
                <w:szCs w:val="22"/>
              </w:rPr>
              <w:t>130,0</w:t>
            </w:r>
          </w:p>
        </w:tc>
        <w:tc>
          <w:tcPr>
            <w:tcW w:w="1560" w:type="dxa"/>
            <w:vAlign w:val="center"/>
          </w:tcPr>
          <w:p w:rsidR="00CE46FF" w:rsidRPr="00993E43" w:rsidRDefault="00CE46FF" w:rsidP="007B5FC8">
            <w:pPr>
              <w:jc w:val="center"/>
              <w:rPr>
                <w:rFonts w:cs="Times New Roman"/>
                <w:sz w:val="22"/>
                <w:szCs w:val="22"/>
                <w:lang w:val="uk-UA"/>
              </w:rPr>
            </w:pPr>
            <w:r>
              <w:rPr>
                <w:rFonts w:cs="Times New Roman"/>
                <w:sz w:val="22"/>
                <w:szCs w:val="22"/>
                <w:lang w:val="uk-UA"/>
              </w:rPr>
              <w:t>286,2*</w:t>
            </w:r>
          </w:p>
        </w:tc>
        <w:tc>
          <w:tcPr>
            <w:tcW w:w="1884" w:type="dxa"/>
            <w:vAlign w:val="center"/>
          </w:tcPr>
          <w:p w:rsidR="00CE46FF" w:rsidRPr="00993E43" w:rsidRDefault="006D1B6B" w:rsidP="007B5FC8">
            <w:pPr>
              <w:jc w:val="center"/>
              <w:rPr>
                <w:rFonts w:cs="Times New Roman"/>
                <w:sz w:val="22"/>
                <w:szCs w:val="22"/>
                <w:lang w:val="uk-UA"/>
              </w:rPr>
            </w:pPr>
            <w:r>
              <w:rPr>
                <w:rFonts w:cs="Times New Roman"/>
                <w:sz w:val="22"/>
                <w:szCs w:val="22"/>
                <w:lang w:val="uk-UA"/>
              </w:rPr>
              <w:t>х</w:t>
            </w:r>
          </w:p>
        </w:tc>
      </w:tr>
      <w:tr w:rsidR="00CE46FF" w:rsidRPr="007B5FC8" w:rsidTr="00993E43">
        <w:trPr>
          <w:trHeight w:val="534"/>
          <w:jc w:val="center"/>
        </w:trPr>
        <w:tc>
          <w:tcPr>
            <w:tcW w:w="4609" w:type="dxa"/>
            <w:hideMark/>
          </w:tcPr>
          <w:p w:rsidR="00CE46FF" w:rsidRPr="00993E43" w:rsidRDefault="00CE46FF" w:rsidP="007B5FC8">
            <w:pPr>
              <w:rPr>
                <w:rFonts w:cs="Times New Roman"/>
                <w:sz w:val="22"/>
                <w:szCs w:val="22"/>
              </w:rPr>
            </w:pPr>
            <w:r w:rsidRPr="00993E43">
              <w:rPr>
                <w:rFonts w:cs="Times New Roman"/>
                <w:sz w:val="22"/>
                <w:szCs w:val="22"/>
              </w:rPr>
              <w:t>Загальноосвітні навчальні заклади</w:t>
            </w:r>
          </w:p>
        </w:tc>
        <w:tc>
          <w:tcPr>
            <w:tcW w:w="1134" w:type="dxa"/>
            <w:vAlign w:val="center"/>
            <w:hideMark/>
          </w:tcPr>
          <w:p w:rsidR="00CE46FF" w:rsidRPr="00993E43" w:rsidRDefault="00CE46FF" w:rsidP="007B5FC8">
            <w:pPr>
              <w:jc w:val="center"/>
              <w:rPr>
                <w:rFonts w:cs="Times New Roman"/>
                <w:sz w:val="22"/>
                <w:szCs w:val="22"/>
              </w:rPr>
            </w:pPr>
            <w:r w:rsidRPr="00993E43">
              <w:rPr>
                <w:rFonts w:cs="Times New Roman"/>
                <w:sz w:val="22"/>
                <w:szCs w:val="22"/>
              </w:rPr>
              <w:t>К-сть/уч. місць</w:t>
            </w:r>
          </w:p>
        </w:tc>
        <w:tc>
          <w:tcPr>
            <w:tcW w:w="1559" w:type="dxa"/>
            <w:noWrap/>
            <w:vAlign w:val="center"/>
          </w:tcPr>
          <w:p w:rsidR="00CE46FF" w:rsidRPr="00993E43" w:rsidRDefault="00CE46FF" w:rsidP="0080506C">
            <w:pPr>
              <w:jc w:val="center"/>
              <w:rPr>
                <w:rFonts w:cs="Times New Roman"/>
                <w:sz w:val="22"/>
                <w:szCs w:val="22"/>
              </w:rPr>
            </w:pPr>
            <w:r w:rsidRPr="00993E43">
              <w:rPr>
                <w:rFonts w:cs="Times New Roman"/>
                <w:sz w:val="22"/>
                <w:szCs w:val="22"/>
              </w:rPr>
              <w:t>-</w:t>
            </w:r>
          </w:p>
        </w:tc>
        <w:tc>
          <w:tcPr>
            <w:tcW w:w="1418" w:type="dxa"/>
            <w:noWrap/>
            <w:vAlign w:val="center"/>
          </w:tcPr>
          <w:p w:rsidR="00CE46FF" w:rsidRPr="00177C3C" w:rsidRDefault="00177C3C" w:rsidP="007B5FC8">
            <w:pPr>
              <w:jc w:val="center"/>
              <w:rPr>
                <w:rFonts w:cs="Times New Roman"/>
                <w:sz w:val="22"/>
                <w:szCs w:val="22"/>
                <w:lang w:val="uk-UA"/>
              </w:rPr>
            </w:pPr>
            <w:r>
              <w:rPr>
                <w:rFonts w:cs="Times New Roman"/>
                <w:sz w:val="22"/>
                <w:szCs w:val="22"/>
                <w:lang w:val="uk-UA"/>
              </w:rPr>
              <w:t>410</w:t>
            </w:r>
          </w:p>
        </w:tc>
        <w:tc>
          <w:tcPr>
            <w:tcW w:w="1842" w:type="dxa"/>
            <w:noWrap/>
            <w:vAlign w:val="center"/>
          </w:tcPr>
          <w:p w:rsidR="00CE46FF" w:rsidRPr="00177C3C" w:rsidRDefault="00177C3C" w:rsidP="007B5FC8">
            <w:pPr>
              <w:jc w:val="center"/>
              <w:rPr>
                <w:rFonts w:cs="Times New Roman"/>
                <w:sz w:val="22"/>
                <w:szCs w:val="22"/>
                <w:lang w:val="uk-UA"/>
              </w:rPr>
            </w:pPr>
            <w:r>
              <w:rPr>
                <w:rFonts w:cs="Times New Roman"/>
                <w:sz w:val="22"/>
                <w:szCs w:val="22"/>
                <w:lang w:val="uk-UA"/>
              </w:rPr>
              <w:t>2837,8</w:t>
            </w:r>
          </w:p>
        </w:tc>
        <w:tc>
          <w:tcPr>
            <w:tcW w:w="1560" w:type="dxa"/>
            <w:vAlign w:val="center"/>
          </w:tcPr>
          <w:p w:rsidR="00CE46FF" w:rsidRPr="00177C3C" w:rsidRDefault="00177C3C" w:rsidP="007B5FC8">
            <w:pPr>
              <w:jc w:val="center"/>
              <w:rPr>
                <w:rFonts w:cs="Times New Roman"/>
                <w:sz w:val="22"/>
                <w:szCs w:val="22"/>
                <w:lang w:val="uk-UA"/>
              </w:rPr>
            </w:pPr>
            <w:r>
              <w:rPr>
                <w:rFonts w:cs="Times New Roman"/>
                <w:sz w:val="22"/>
                <w:szCs w:val="22"/>
                <w:lang w:val="uk-UA"/>
              </w:rPr>
              <w:t>2837,8</w:t>
            </w:r>
          </w:p>
        </w:tc>
        <w:tc>
          <w:tcPr>
            <w:tcW w:w="1884" w:type="dxa"/>
            <w:vAlign w:val="center"/>
          </w:tcPr>
          <w:p w:rsidR="00CE46FF" w:rsidRPr="00177C3C" w:rsidRDefault="00177C3C" w:rsidP="007B5FC8">
            <w:pPr>
              <w:jc w:val="center"/>
              <w:rPr>
                <w:rFonts w:cs="Times New Roman"/>
                <w:sz w:val="22"/>
                <w:szCs w:val="22"/>
                <w:lang w:val="uk-UA"/>
              </w:rPr>
            </w:pPr>
            <w:r>
              <w:rPr>
                <w:rFonts w:cs="Times New Roman"/>
                <w:sz w:val="22"/>
                <w:szCs w:val="22"/>
                <w:lang w:val="uk-UA"/>
              </w:rPr>
              <w:t>100%</w:t>
            </w:r>
          </w:p>
        </w:tc>
      </w:tr>
      <w:tr w:rsidR="00CE46FF" w:rsidRPr="007B5FC8" w:rsidTr="00993E43">
        <w:trPr>
          <w:trHeight w:val="572"/>
          <w:jc w:val="center"/>
        </w:trPr>
        <w:tc>
          <w:tcPr>
            <w:tcW w:w="4609" w:type="dxa"/>
            <w:hideMark/>
          </w:tcPr>
          <w:p w:rsidR="00CE46FF" w:rsidRPr="00993E43" w:rsidRDefault="00CE46FF" w:rsidP="007B5FC8">
            <w:pPr>
              <w:rPr>
                <w:rFonts w:cs="Times New Roman"/>
                <w:sz w:val="22"/>
                <w:szCs w:val="22"/>
              </w:rPr>
            </w:pPr>
            <w:r w:rsidRPr="00993E43">
              <w:rPr>
                <w:rFonts w:cs="Times New Roman"/>
                <w:sz w:val="22"/>
                <w:szCs w:val="22"/>
              </w:rPr>
              <w:t xml:space="preserve">Дитячі </w:t>
            </w:r>
            <w:proofErr w:type="gramStart"/>
            <w:r w:rsidRPr="00993E43">
              <w:rPr>
                <w:rFonts w:cs="Times New Roman"/>
                <w:sz w:val="22"/>
                <w:szCs w:val="22"/>
              </w:rPr>
              <w:t>дошкільні  заклади</w:t>
            </w:r>
            <w:proofErr w:type="gramEnd"/>
            <w:r w:rsidRPr="00993E43">
              <w:rPr>
                <w:rFonts w:cs="Times New Roman"/>
                <w:sz w:val="22"/>
                <w:szCs w:val="22"/>
              </w:rPr>
              <w:t xml:space="preserve"> </w:t>
            </w:r>
          </w:p>
        </w:tc>
        <w:tc>
          <w:tcPr>
            <w:tcW w:w="1134" w:type="dxa"/>
            <w:vAlign w:val="center"/>
            <w:hideMark/>
          </w:tcPr>
          <w:p w:rsidR="00CE46FF" w:rsidRPr="00993E43" w:rsidRDefault="00CE46FF" w:rsidP="007B5FC8">
            <w:pPr>
              <w:jc w:val="center"/>
              <w:rPr>
                <w:rFonts w:cs="Times New Roman"/>
                <w:sz w:val="22"/>
                <w:szCs w:val="22"/>
              </w:rPr>
            </w:pPr>
            <w:r w:rsidRPr="00993E43">
              <w:rPr>
                <w:rFonts w:cs="Times New Roman"/>
                <w:sz w:val="22"/>
                <w:szCs w:val="22"/>
              </w:rPr>
              <w:t>К-сть</w:t>
            </w:r>
            <w:proofErr w:type="gramStart"/>
            <w:r w:rsidRPr="00993E43">
              <w:rPr>
                <w:rFonts w:cs="Times New Roman"/>
                <w:sz w:val="22"/>
                <w:szCs w:val="22"/>
              </w:rPr>
              <w:t>/  місць</w:t>
            </w:r>
            <w:proofErr w:type="gramEnd"/>
          </w:p>
        </w:tc>
        <w:tc>
          <w:tcPr>
            <w:tcW w:w="1559" w:type="dxa"/>
            <w:noWrap/>
            <w:vAlign w:val="center"/>
          </w:tcPr>
          <w:p w:rsidR="00CE46FF" w:rsidRPr="00177C3C" w:rsidRDefault="00177C3C" w:rsidP="0080506C">
            <w:pPr>
              <w:jc w:val="center"/>
              <w:rPr>
                <w:rFonts w:cs="Times New Roman"/>
                <w:sz w:val="22"/>
                <w:szCs w:val="22"/>
                <w:lang w:val="uk-UA"/>
              </w:rPr>
            </w:pPr>
            <w:r>
              <w:rPr>
                <w:rFonts w:cs="Times New Roman"/>
                <w:sz w:val="22"/>
                <w:szCs w:val="22"/>
                <w:lang w:val="uk-UA"/>
              </w:rPr>
              <w:t>4288</w:t>
            </w:r>
          </w:p>
        </w:tc>
        <w:tc>
          <w:tcPr>
            <w:tcW w:w="1418" w:type="dxa"/>
            <w:noWrap/>
            <w:vAlign w:val="center"/>
          </w:tcPr>
          <w:p w:rsidR="00CE46FF" w:rsidRPr="00177C3C" w:rsidRDefault="00177C3C" w:rsidP="007B5FC8">
            <w:pPr>
              <w:jc w:val="center"/>
              <w:rPr>
                <w:rFonts w:cs="Times New Roman"/>
                <w:sz w:val="22"/>
                <w:szCs w:val="22"/>
                <w:lang w:val="uk-UA"/>
              </w:rPr>
            </w:pPr>
            <w:r>
              <w:rPr>
                <w:rFonts w:cs="Times New Roman"/>
                <w:sz w:val="22"/>
                <w:szCs w:val="22"/>
                <w:lang w:val="uk-UA"/>
              </w:rPr>
              <w:t>2252</w:t>
            </w:r>
          </w:p>
        </w:tc>
        <w:tc>
          <w:tcPr>
            <w:tcW w:w="1842" w:type="dxa"/>
            <w:noWrap/>
            <w:vAlign w:val="center"/>
          </w:tcPr>
          <w:p w:rsidR="00CE46FF" w:rsidRPr="00177C3C" w:rsidRDefault="00177C3C" w:rsidP="007B5FC8">
            <w:pPr>
              <w:jc w:val="center"/>
              <w:rPr>
                <w:rFonts w:cs="Times New Roman"/>
                <w:sz w:val="22"/>
                <w:szCs w:val="22"/>
                <w:lang w:val="uk-UA"/>
              </w:rPr>
            </w:pPr>
            <w:r>
              <w:rPr>
                <w:rFonts w:cs="Times New Roman"/>
                <w:sz w:val="22"/>
                <w:szCs w:val="22"/>
                <w:lang w:val="uk-UA"/>
              </w:rPr>
              <w:t>5583,8</w:t>
            </w:r>
          </w:p>
        </w:tc>
        <w:tc>
          <w:tcPr>
            <w:tcW w:w="1560" w:type="dxa"/>
            <w:noWrap/>
            <w:vAlign w:val="center"/>
          </w:tcPr>
          <w:p w:rsidR="00CE46FF" w:rsidRPr="00177C3C" w:rsidRDefault="00177C3C" w:rsidP="007B5FC8">
            <w:pPr>
              <w:jc w:val="center"/>
              <w:rPr>
                <w:rFonts w:cs="Times New Roman"/>
                <w:sz w:val="22"/>
                <w:szCs w:val="22"/>
                <w:lang w:val="uk-UA"/>
              </w:rPr>
            </w:pPr>
            <w:r>
              <w:rPr>
                <w:rFonts w:cs="Times New Roman"/>
                <w:sz w:val="22"/>
                <w:szCs w:val="22"/>
                <w:lang w:val="uk-UA"/>
              </w:rPr>
              <w:t>-</w:t>
            </w:r>
          </w:p>
        </w:tc>
        <w:tc>
          <w:tcPr>
            <w:tcW w:w="1884" w:type="dxa"/>
            <w:vAlign w:val="center"/>
          </w:tcPr>
          <w:p w:rsidR="00CE46FF" w:rsidRPr="00177C3C" w:rsidRDefault="00177C3C" w:rsidP="007B5FC8">
            <w:pPr>
              <w:jc w:val="center"/>
              <w:rPr>
                <w:rFonts w:cs="Times New Roman"/>
                <w:sz w:val="22"/>
                <w:szCs w:val="22"/>
                <w:lang w:val="uk-UA"/>
              </w:rPr>
            </w:pPr>
            <w:r>
              <w:rPr>
                <w:rFonts w:cs="Times New Roman"/>
                <w:sz w:val="22"/>
                <w:szCs w:val="22"/>
                <w:lang w:val="uk-UA"/>
              </w:rPr>
              <w:t>-</w:t>
            </w:r>
          </w:p>
        </w:tc>
      </w:tr>
      <w:tr w:rsidR="00CE46FF" w:rsidRPr="007B5FC8" w:rsidTr="00993E43">
        <w:trPr>
          <w:trHeight w:val="483"/>
          <w:jc w:val="center"/>
        </w:trPr>
        <w:tc>
          <w:tcPr>
            <w:tcW w:w="4609" w:type="dxa"/>
            <w:hideMark/>
          </w:tcPr>
          <w:p w:rsidR="00CE46FF" w:rsidRPr="00993E43" w:rsidRDefault="00CE46FF" w:rsidP="007B5FC8">
            <w:pPr>
              <w:rPr>
                <w:rFonts w:cs="Times New Roman"/>
                <w:sz w:val="22"/>
                <w:szCs w:val="22"/>
              </w:rPr>
            </w:pPr>
            <w:r w:rsidRPr="00993E43">
              <w:rPr>
                <w:rFonts w:cs="Times New Roman"/>
                <w:sz w:val="22"/>
                <w:szCs w:val="22"/>
              </w:rPr>
              <w:t>Лікарні</w:t>
            </w:r>
          </w:p>
        </w:tc>
        <w:tc>
          <w:tcPr>
            <w:tcW w:w="1134" w:type="dxa"/>
            <w:vAlign w:val="center"/>
            <w:hideMark/>
          </w:tcPr>
          <w:p w:rsidR="00CE46FF" w:rsidRPr="00993E43" w:rsidRDefault="00CE46FF" w:rsidP="007B5FC8">
            <w:pPr>
              <w:jc w:val="center"/>
              <w:rPr>
                <w:rFonts w:cs="Times New Roman"/>
                <w:sz w:val="22"/>
                <w:szCs w:val="22"/>
              </w:rPr>
            </w:pPr>
            <w:r w:rsidRPr="00993E43">
              <w:rPr>
                <w:rFonts w:cs="Times New Roman"/>
                <w:sz w:val="22"/>
                <w:szCs w:val="22"/>
              </w:rPr>
              <w:t>К-сть</w:t>
            </w:r>
            <w:proofErr w:type="gramStart"/>
            <w:r w:rsidRPr="00993E43">
              <w:rPr>
                <w:rFonts w:cs="Times New Roman"/>
                <w:sz w:val="22"/>
                <w:szCs w:val="22"/>
              </w:rPr>
              <w:t>/  ліжок</w:t>
            </w:r>
            <w:proofErr w:type="gramEnd"/>
          </w:p>
        </w:tc>
        <w:tc>
          <w:tcPr>
            <w:tcW w:w="1559" w:type="dxa"/>
            <w:noWrap/>
            <w:vAlign w:val="center"/>
          </w:tcPr>
          <w:p w:rsidR="00CE46FF" w:rsidRPr="00993E43" w:rsidRDefault="00CE46FF" w:rsidP="0080506C">
            <w:pPr>
              <w:jc w:val="center"/>
              <w:rPr>
                <w:rFonts w:cs="Times New Roman"/>
                <w:sz w:val="22"/>
                <w:szCs w:val="22"/>
              </w:rPr>
            </w:pPr>
            <w:r w:rsidRPr="00993E43">
              <w:rPr>
                <w:rFonts w:cs="Times New Roman"/>
                <w:sz w:val="22"/>
                <w:szCs w:val="22"/>
              </w:rPr>
              <w:t>-</w:t>
            </w:r>
          </w:p>
        </w:tc>
        <w:tc>
          <w:tcPr>
            <w:tcW w:w="1418" w:type="dxa"/>
            <w:noWrap/>
            <w:vAlign w:val="center"/>
          </w:tcPr>
          <w:p w:rsidR="00CE46FF" w:rsidRPr="00177C3C" w:rsidRDefault="00177C3C" w:rsidP="007B5FC8">
            <w:pPr>
              <w:jc w:val="center"/>
              <w:rPr>
                <w:rFonts w:cs="Times New Roman"/>
                <w:sz w:val="22"/>
                <w:szCs w:val="22"/>
                <w:lang w:val="uk-UA"/>
              </w:rPr>
            </w:pPr>
            <w:r>
              <w:rPr>
                <w:rFonts w:cs="Times New Roman"/>
                <w:sz w:val="22"/>
                <w:szCs w:val="22"/>
                <w:lang w:val="uk-UA"/>
              </w:rPr>
              <w:t>-</w:t>
            </w:r>
          </w:p>
        </w:tc>
        <w:tc>
          <w:tcPr>
            <w:tcW w:w="1842" w:type="dxa"/>
            <w:noWrap/>
            <w:vAlign w:val="center"/>
          </w:tcPr>
          <w:p w:rsidR="00CE46FF" w:rsidRPr="00177C3C" w:rsidRDefault="00177C3C" w:rsidP="007B5FC8">
            <w:pPr>
              <w:jc w:val="center"/>
              <w:rPr>
                <w:rFonts w:cs="Times New Roman"/>
                <w:sz w:val="22"/>
                <w:szCs w:val="22"/>
                <w:lang w:val="uk-UA"/>
              </w:rPr>
            </w:pPr>
            <w:r>
              <w:rPr>
                <w:rFonts w:cs="Times New Roman"/>
                <w:sz w:val="22"/>
                <w:szCs w:val="22"/>
                <w:lang w:val="uk-UA"/>
              </w:rPr>
              <w:t>-</w:t>
            </w:r>
          </w:p>
        </w:tc>
        <w:tc>
          <w:tcPr>
            <w:tcW w:w="1560" w:type="dxa"/>
            <w:noWrap/>
            <w:vAlign w:val="center"/>
          </w:tcPr>
          <w:p w:rsidR="00CE46FF" w:rsidRPr="00177C3C" w:rsidRDefault="00177C3C" w:rsidP="007B5FC8">
            <w:pPr>
              <w:jc w:val="center"/>
              <w:rPr>
                <w:rFonts w:cs="Times New Roman"/>
                <w:sz w:val="22"/>
                <w:szCs w:val="22"/>
                <w:lang w:val="uk-UA"/>
              </w:rPr>
            </w:pPr>
            <w:r>
              <w:rPr>
                <w:rFonts w:cs="Times New Roman"/>
                <w:sz w:val="22"/>
                <w:szCs w:val="22"/>
                <w:lang w:val="uk-UA"/>
              </w:rPr>
              <w:t>-</w:t>
            </w:r>
          </w:p>
        </w:tc>
        <w:tc>
          <w:tcPr>
            <w:tcW w:w="1884" w:type="dxa"/>
            <w:vAlign w:val="center"/>
          </w:tcPr>
          <w:p w:rsidR="00CE46FF" w:rsidRPr="00177C3C" w:rsidRDefault="00177C3C" w:rsidP="007B5FC8">
            <w:pPr>
              <w:jc w:val="center"/>
              <w:rPr>
                <w:rFonts w:cs="Times New Roman"/>
                <w:sz w:val="22"/>
                <w:szCs w:val="22"/>
                <w:lang w:val="uk-UA"/>
              </w:rPr>
            </w:pPr>
            <w:r>
              <w:rPr>
                <w:rFonts w:cs="Times New Roman"/>
                <w:sz w:val="22"/>
                <w:szCs w:val="22"/>
                <w:lang w:val="uk-UA"/>
              </w:rPr>
              <w:t>-</w:t>
            </w:r>
          </w:p>
        </w:tc>
      </w:tr>
      <w:tr w:rsidR="00CE46FF" w:rsidRPr="007B5FC8" w:rsidTr="00993E43">
        <w:trPr>
          <w:trHeight w:val="918"/>
          <w:jc w:val="center"/>
        </w:trPr>
        <w:tc>
          <w:tcPr>
            <w:tcW w:w="4609" w:type="dxa"/>
            <w:hideMark/>
          </w:tcPr>
          <w:p w:rsidR="00CE46FF" w:rsidRPr="00993E43" w:rsidRDefault="00CE46FF" w:rsidP="007B5FC8">
            <w:pPr>
              <w:rPr>
                <w:rFonts w:cs="Times New Roman"/>
                <w:sz w:val="22"/>
                <w:szCs w:val="22"/>
              </w:rPr>
            </w:pPr>
            <w:r w:rsidRPr="00993E43">
              <w:rPr>
                <w:rFonts w:cs="Times New Roman"/>
                <w:sz w:val="22"/>
                <w:szCs w:val="22"/>
              </w:rPr>
              <w:lastRenderedPageBreak/>
              <w:t>Амбулаторно-поліклінічні заклади</w:t>
            </w:r>
          </w:p>
        </w:tc>
        <w:tc>
          <w:tcPr>
            <w:tcW w:w="1134" w:type="dxa"/>
            <w:vAlign w:val="center"/>
            <w:hideMark/>
          </w:tcPr>
          <w:p w:rsidR="00CE46FF" w:rsidRPr="00993E43" w:rsidRDefault="00CE46FF" w:rsidP="007B5FC8">
            <w:pPr>
              <w:jc w:val="center"/>
              <w:rPr>
                <w:rFonts w:cs="Times New Roman"/>
                <w:sz w:val="22"/>
                <w:szCs w:val="22"/>
              </w:rPr>
            </w:pPr>
            <w:r w:rsidRPr="00993E43">
              <w:rPr>
                <w:rFonts w:cs="Times New Roman"/>
                <w:sz w:val="22"/>
                <w:szCs w:val="22"/>
              </w:rPr>
              <w:t>К-сть/ відвід.   за зміну</w:t>
            </w:r>
          </w:p>
        </w:tc>
        <w:tc>
          <w:tcPr>
            <w:tcW w:w="1559" w:type="dxa"/>
            <w:noWrap/>
            <w:vAlign w:val="center"/>
          </w:tcPr>
          <w:p w:rsidR="00CE46FF" w:rsidRPr="00177C3C" w:rsidRDefault="00CE46FF" w:rsidP="0080506C">
            <w:pPr>
              <w:jc w:val="center"/>
              <w:rPr>
                <w:rFonts w:cs="Times New Roman"/>
                <w:sz w:val="22"/>
                <w:szCs w:val="22"/>
              </w:rPr>
            </w:pPr>
            <w:r w:rsidRPr="00177C3C">
              <w:rPr>
                <w:rFonts w:cs="Times New Roman"/>
                <w:sz w:val="22"/>
                <w:szCs w:val="22"/>
              </w:rPr>
              <w:t>-</w:t>
            </w:r>
          </w:p>
        </w:tc>
        <w:tc>
          <w:tcPr>
            <w:tcW w:w="1418" w:type="dxa"/>
            <w:noWrap/>
            <w:vAlign w:val="center"/>
          </w:tcPr>
          <w:p w:rsidR="00CE46FF" w:rsidRPr="00177C3C" w:rsidRDefault="00177C3C" w:rsidP="007B5FC8">
            <w:pPr>
              <w:jc w:val="center"/>
              <w:rPr>
                <w:rFonts w:cs="Times New Roman"/>
                <w:sz w:val="22"/>
                <w:szCs w:val="22"/>
                <w:lang w:val="uk-UA"/>
              </w:rPr>
            </w:pPr>
            <w:r w:rsidRPr="00177C3C">
              <w:rPr>
                <w:rFonts w:cs="Times New Roman"/>
                <w:sz w:val="22"/>
                <w:szCs w:val="22"/>
                <w:lang w:val="uk-UA"/>
              </w:rPr>
              <w:t>-</w:t>
            </w:r>
          </w:p>
        </w:tc>
        <w:tc>
          <w:tcPr>
            <w:tcW w:w="1842" w:type="dxa"/>
            <w:noWrap/>
            <w:vAlign w:val="center"/>
            <w:hideMark/>
          </w:tcPr>
          <w:p w:rsidR="00CE46FF" w:rsidRPr="00177C3C" w:rsidRDefault="00CE46FF" w:rsidP="007B5FC8">
            <w:pPr>
              <w:jc w:val="center"/>
              <w:rPr>
                <w:rFonts w:cs="Times New Roman"/>
                <w:sz w:val="22"/>
                <w:szCs w:val="22"/>
              </w:rPr>
            </w:pPr>
            <w:r w:rsidRPr="00177C3C">
              <w:rPr>
                <w:rFonts w:cs="Times New Roman"/>
                <w:sz w:val="22"/>
                <w:szCs w:val="22"/>
              </w:rPr>
              <w:t>-</w:t>
            </w:r>
          </w:p>
        </w:tc>
        <w:tc>
          <w:tcPr>
            <w:tcW w:w="1560" w:type="dxa"/>
            <w:noWrap/>
            <w:vAlign w:val="center"/>
            <w:hideMark/>
          </w:tcPr>
          <w:p w:rsidR="00CE46FF" w:rsidRPr="00177C3C" w:rsidRDefault="00CE46FF" w:rsidP="007B5FC8">
            <w:pPr>
              <w:jc w:val="center"/>
              <w:rPr>
                <w:rFonts w:cs="Times New Roman"/>
                <w:sz w:val="22"/>
                <w:szCs w:val="22"/>
              </w:rPr>
            </w:pPr>
            <w:r w:rsidRPr="00177C3C">
              <w:rPr>
                <w:rFonts w:cs="Times New Roman"/>
                <w:sz w:val="22"/>
                <w:szCs w:val="22"/>
              </w:rPr>
              <w:t>-</w:t>
            </w:r>
          </w:p>
        </w:tc>
        <w:tc>
          <w:tcPr>
            <w:tcW w:w="1884" w:type="dxa"/>
            <w:vAlign w:val="center"/>
            <w:hideMark/>
          </w:tcPr>
          <w:p w:rsidR="00CE46FF" w:rsidRPr="00177C3C" w:rsidRDefault="00CE46FF" w:rsidP="007B5FC8">
            <w:pPr>
              <w:jc w:val="center"/>
              <w:rPr>
                <w:rFonts w:cs="Times New Roman"/>
                <w:sz w:val="22"/>
                <w:szCs w:val="22"/>
              </w:rPr>
            </w:pPr>
            <w:r w:rsidRPr="00177C3C">
              <w:rPr>
                <w:rFonts w:cs="Times New Roman"/>
                <w:sz w:val="22"/>
                <w:szCs w:val="22"/>
              </w:rPr>
              <w:t>х</w:t>
            </w:r>
          </w:p>
        </w:tc>
      </w:tr>
      <w:tr w:rsidR="00CE46FF" w:rsidRPr="007B5FC8" w:rsidTr="00993E43">
        <w:trPr>
          <w:trHeight w:val="563"/>
          <w:jc w:val="center"/>
        </w:trPr>
        <w:tc>
          <w:tcPr>
            <w:tcW w:w="4609" w:type="dxa"/>
            <w:hideMark/>
          </w:tcPr>
          <w:p w:rsidR="00CE46FF" w:rsidRPr="00993E43" w:rsidRDefault="00CE46FF" w:rsidP="007B5FC8">
            <w:pPr>
              <w:rPr>
                <w:rFonts w:cs="Times New Roman"/>
                <w:sz w:val="22"/>
                <w:szCs w:val="22"/>
              </w:rPr>
            </w:pPr>
            <w:r w:rsidRPr="00993E43">
              <w:rPr>
                <w:rFonts w:cs="Times New Roman"/>
                <w:sz w:val="22"/>
                <w:szCs w:val="22"/>
              </w:rPr>
              <w:t>Клуби та будинки культури</w:t>
            </w:r>
          </w:p>
        </w:tc>
        <w:tc>
          <w:tcPr>
            <w:tcW w:w="1134" w:type="dxa"/>
            <w:vAlign w:val="center"/>
            <w:hideMark/>
          </w:tcPr>
          <w:p w:rsidR="00CE46FF" w:rsidRPr="00993E43" w:rsidRDefault="00CE46FF" w:rsidP="007B5FC8">
            <w:pPr>
              <w:jc w:val="center"/>
              <w:rPr>
                <w:rFonts w:cs="Times New Roman"/>
                <w:sz w:val="22"/>
                <w:szCs w:val="22"/>
              </w:rPr>
            </w:pPr>
            <w:r w:rsidRPr="00993E43">
              <w:rPr>
                <w:rFonts w:cs="Times New Roman"/>
                <w:sz w:val="22"/>
                <w:szCs w:val="22"/>
              </w:rPr>
              <w:t>К-сть</w:t>
            </w:r>
            <w:proofErr w:type="gramStart"/>
            <w:r w:rsidRPr="00993E43">
              <w:rPr>
                <w:rFonts w:cs="Times New Roman"/>
                <w:sz w:val="22"/>
                <w:szCs w:val="22"/>
              </w:rPr>
              <w:t>/  місць</w:t>
            </w:r>
            <w:proofErr w:type="gramEnd"/>
          </w:p>
        </w:tc>
        <w:tc>
          <w:tcPr>
            <w:tcW w:w="1559" w:type="dxa"/>
            <w:noWrap/>
            <w:vAlign w:val="center"/>
          </w:tcPr>
          <w:p w:rsidR="00CE46FF" w:rsidRPr="00177C3C" w:rsidRDefault="00CE46FF" w:rsidP="0080506C">
            <w:pPr>
              <w:jc w:val="center"/>
              <w:rPr>
                <w:rFonts w:cs="Times New Roman"/>
                <w:sz w:val="22"/>
                <w:szCs w:val="22"/>
              </w:rPr>
            </w:pPr>
            <w:r w:rsidRPr="00177C3C">
              <w:rPr>
                <w:rFonts w:cs="Times New Roman"/>
                <w:sz w:val="22"/>
                <w:szCs w:val="22"/>
              </w:rPr>
              <w:t>-</w:t>
            </w:r>
          </w:p>
        </w:tc>
        <w:tc>
          <w:tcPr>
            <w:tcW w:w="1418" w:type="dxa"/>
            <w:noWrap/>
            <w:vAlign w:val="center"/>
          </w:tcPr>
          <w:p w:rsidR="00CE46FF" w:rsidRPr="00177C3C" w:rsidRDefault="00177C3C" w:rsidP="007B5FC8">
            <w:pPr>
              <w:jc w:val="center"/>
              <w:rPr>
                <w:rFonts w:cs="Times New Roman"/>
                <w:sz w:val="22"/>
                <w:szCs w:val="22"/>
                <w:lang w:val="uk-UA"/>
              </w:rPr>
            </w:pPr>
            <w:r w:rsidRPr="00177C3C">
              <w:rPr>
                <w:rFonts w:cs="Times New Roman"/>
                <w:sz w:val="22"/>
                <w:szCs w:val="22"/>
                <w:lang w:val="uk-UA"/>
              </w:rPr>
              <w:t>-</w:t>
            </w:r>
          </w:p>
        </w:tc>
        <w:tc>
          <w:tcPr>
            <w:tcW w:w="1842" w:type="dxa"/>
            <w:noWrap/>
            <w:vAlign w:val="center"/>
            <w:hideMark/>
          </w:tcPr>
          <w:p w:rsidR="00CE46FF" w:rsidRPr="00177C3C" w:rsidRDefault="00CE46FF" w:rsidP="007B5FC8">
            <w:pPr>
              <w:jc w:val="center"/>
              <w:rPr>
                <w:rFonts w:cs="Times New Roman"/>
                <w:sz w:val="22"/>
                <w:szCs w:val="22"/>
              </w:rPr>
            </w:pPr>
            <w:r w:rsidRPr="00177C3C">
              <w:rPr>
                <w:rFonts w:cs="Times New Roman"/>
                <w:sz w:val="22"/>
                <w:szCs w:val="22"/>
              </w:rPr>
              <w:t>-</w:t>
            </w:r>
          </w:p>
        </w:tc>
        <w:tc>
          <w:tcPr>
            <w:tcW w:w="1560" w:type="dxa"/>
            <w:noWrap/>
            <w:vAlign w:val="center"/>
            <w:hideMark/>
          </w:tcPr>
          <w:p w:rsidR="00CE46FF" w:rsidRPr="00177C3C" w:rsidRDefault="00CE46FF" w:rsidP="007B5FC8">
            <w:pPr>
              <w:jc w:val="center"/>
              <w:rPr>
                <w:rFonts w:cs="Times New Roman"/>
                <w:sz w:val="22"/>
                <w:szCs w:val="22"/>
              </w:rPr>
            </w:pPr>
            <w:r w:rsidRPr="00177C3C">
              <w:rPr>
                <w:rFonts w:cs="Times New Roman"/>
                <w:sz w:val="22"/>
                <w:szCs w:val="22"/>
              </w:rPr>
              <w:t>-</w:t>
            </w:r>
          </w:p>
        </w:tc>
        <w:tc>
          <w:tcPr>
            <w:tcW w:w="1884" w:type="dxa"/>
            <w:vAlign w:val="center"/>
            <w:hideMark/>
          </w:tcPr>
          <w:p w:rsidR="00CE46FF" w:rsidRPr="00177C3C" w:rsidRDefault="00CE46FF" w:rsidP="007B5FC8">
            <w:pPr>
              <w:jc w:val="center"/>
              <w:rPr>
                <w:rFonts w:cs="Times New Roman"/>
                <w:sz w:val="22"/>
                <w:szCs w:val="22"/>
              </w:rPr>
            </w:pPr>
            <w:r w:rsidRPr="00177C3C">
              <w:rPr>
                <w:rFonts w:cs="Times New Roman"/>
                <w:sz w:val="22"/>
                <w:szCs w:val="22"/>
              </w:rPr>
              <w:t>х</w:t>
            </w:r>
          </w:p>
        </w:tc>
      </w:tr>
      <w:tr w:rsidR="00CE46FF" w:rsidRPr="007B5FC8" w:rsidTr="00993E43">
        <w:trPr>
          <w:trHeight w:val="259"/>
          <w:jc w:val="center"/>
        </w:trPr>
        <w:tc>
          <w:tcPr>
            <w:tcW w:w="4609" w:type="dxa"/>
            <w:hideMark/>
          </w:tcPr>
          <w:p w:rsidR="00CE46FF" w:rsidRPr="00993E43" w:rsidRDefault="00CE46FF" w:rsidP="007B5FC8">
            <w:pPr>
              <w:rPr>
                <w:rFonts w:cs="Times New Roman"/>
                <w:sz w:val="22"/>
                <w:szCs w:val="22"/>
              </w:rPr>
            </w:pPr>
            <w:proofErr w:type="gramStart"/>
            <w:r w:rsidRPr="00993E43">
              <w:rPr>
                <w:rFonts w:cs="Times New Roman"/>
                <w:sz w:val="22"/>
                <w:szCs w:val="22"/>
              </w:rPr>
              <w:t>Газові  мережі</w:t>
            </w:r>
            <w:proofErr w:type="gramEnd"/>
          </w:p>
        </w:tc>
        <w:tc>
          <w:tcPr>
            <w:tcW w:w="1134" w:type="dxa"/>
            <w:vAlign w:val="center"/>
            <w:hideMark/>
          </w:tcPr>
          <w:p w:rsidR="00CE46FF" w:rsidRPr="00993E43" w:rsidRDefault="00CE46FF" w:rsidP="007B5FC8">
            <w:pPr>
              <w:jc w:val="center"/>
              <w:rPr>
                <w:rFonts w:cs="Times New Roman"/>
                <w:sz w:val="22"/>
                <w:szCs w:val="22"/>
              </w:rPr>
            </w:pPr>
            <w:r w:rsidRPr="00993E43">
              <w:rPr>
                <w:rFonts w:cs="Times New Roman"/>
                <w:sz w:val="22"/>
                <w:szCs w:val="22"/>
              </w:rPr>
              <w:t>пог. м</w:t>
            </w:r>
          </w:p>
        </w:tc>
        <w:tc>
          <w:tcPr>
            <w:tcW w:w="1559" w:type="dxa"/>
            <w:noWrap/>
            <w:vAlign w:val="center"/>
          </w:tcPr>
          <w:p w:rsidR="00CE46FF" w:rsidRPr="00993E43" w:rsidRDefault="00CE46FF" w:rsidP="0080506C">
            <w:pPr>
              <w:jc w:val="center"/>
              <w:rPr>
                <w:rFonts w:cs="Times New Roman"/>
                <w:sz w:val="22"/>
                <w:szCs w:val="22"/>
              </w:rPr>
            </w:pPr>
            <w:r w:rsidRPr="00993E43">
              <w:rPr>
                <w:rFonts w:cs="Times New Roman"/>
                <w:sz w:val="22"/>
                <w:szCs w:val="22"/>
              </w:rPr>
              <w:t>-</w:t>
            </w:r>
          </w:p>
        </w:tc>
        <w:tc>
          <w:tcPr>
            <w:tcW w:w="1418" w:type="dxa"/>
            <w:noWrap/>
            <w:vAlign w:val="center"/>
          </w:tcPr>
          <w:p w:rsidR="00CE46FF" w:rsidRPr="00177C3C" w:rsidRDefault="00177C3C" w:rsidP="007B5FC8">
            <w:pPr>
              <w:jc w:val="center"/>
              <w:rPr>
                <w:rFonts w:cs="Times New Roman"/>
                <w:sz w:val="22"/>
                <w:szCs w:val="22"/>
                <w:lang w:val="uk-UA"/>
              </w:rPr>
            </w:pPr>
            <w:r w:rsidRPr="00177C3C">
              <w:rPr>
                <w:rFonts w:cs="Times New Roman"/>
                <w:sz w:val="22"/>
                <w:szCs w:val="22"/>
                <w:lang w:val="uk-UA"/>
              </w:rPr>
              <w:t>-</w:t>
            </w:r>
          </w:p>
        </w:tc>
        <w:tc>
          <w:tcPr>
            <w:tcW w:w="1842" w:type="dxa"/>
            <w:noWrap/>
            <w:vAlign w:val="center"/>
            <w:hideMark/>
          </w:tcPr>
          <w:p w:rsidR="00CE46FF" w:rsidRPr="00177C3C" w:rsidRDefault="00CE46FF" w:rsidP="007B5FC8">
            <w:pPr>
              <w:jc w:val="center"/>
              <w:rPr>
                <w:rFonts w:cs="Times New Roman"/>
                <w:sz w:val="22"/>
                <w:szCs w:val="22"/>
              </w:rPr>
            </w:pPr>
            <w:r w:rsidRPr="00177C3C">
              <w:rPr>
                <w:rFonts w:cs="Times New Roman"/>
                <w:sz w:val="22"/>
                <w:szCs w:val="22"/>
              </w:rPr>
              <w:t>-</w:t>
            </w:r>
          </w:p>
        </w:tc>
        <w:tc>
          <w:tcPr>
            <w:tcW w:w="1560" w:type="dxa"/>
            <w:noWrap/>
            <w:vAlign w:val="center"/>
            <w:hideMark/>
          </w:tcPr>
          <w:p w:rsidR="00CE46FF" w:rsidRPr="00177C3C" w:rsidRDefault="00CE46FF" w:rsidP="007B5FC8">
            <w:pPr>
              <w:jc w:val="center"/>
              <w:rPr>
                <w:rFonts w:cs="Times New Roman"/>
                <w:sz w:val="22"/>
                <w:szCs w:val="22"/>
              </w:rPr>
            </w:pPr>
            <w:r w:rsidRPr="00177C3C">
              <w:rPr>
                <w:rFonts w:cs="Times New Roman"/>
                <w:sz w:val="22"/>
                <w:szCs w:val="22"/>
              </w:rPr>
              <w:t>-</w:t>
            </w:r>
          </w:p>
        </w:tc>
        <w:tc>
          <w:tcPr>
            <w:tcW w:w="1884" w:type="dxa"/>
            <w:vAlign w:val="center"/>
            <w:hideMark/>
          </w:tcPr>
          <w:p w:rsidR="00CE46FF" w:rsidRPr="00177C3C" w:rsidRDefault="00CE46FF" w:rsidP="007B5FC8">
            <w:pPr>
              <w:jc w:val="center"/>
              <w:rPr>
                <w:rFonts w:cs="Times New Roman"/>
                <w:sz w:val="22"/>
                <w:szCs w:val="22"/>
              </w:rPr>
            </w:pPr>
            <w:r w:rsidRPr="00177C3C">
              <w:rPr>
                <w:rFonts w:cs="Times New Roman"/>
                <w:sz w:val="22"/>
                <w:szCs w:val="22"/>
              </w:rPr>
              <w:t>х</w:t>
            </w:r>
          </w:p>
        </w:tc>
      </w:tr>
      <w:tr w:rsidR="00CE46FF" w:rsidRPr="007B5FC8" w:rsidTr="00993E43">
        <w:trPr>
          <w:trHeight w:val="796"/>
          <w:jc w:val="center"/>
        </w:trPr>
        <w:tc>
          <w:tcPr>
            <w:tcW w:w="4609" w:type="dxa"/>
            <w:hideMark/>
          </w:tcPr>
          <w:p w:rsidR="00CE46FF" w:rsidRPr="00993E43" w:rsidRDefault="00CE46FF" w:rsidP="007B5FC8">
            <w:pPr>
              <w:jc w:val="both"/>
              <w:rPr>
                <w:rFonts w:cs="Times New Roman"/>
                <w:sz w:val="22"/>
                <w:szCs w:val="22"/>
              </w:rPr>
            </w:pPr>
            <w:r w:rsidRPr="00993E43">
              <w:rPr>
                <w:rFonts w:cs="Times New Roman"/>
                <w:sz w:val="22"/>
                <w:szCs w:val="22"/>
              </w:rPr>
              <w:t>Темп зростання (зменшення) обсягу прийняття в експлуатацію житла, відсотків до відповідного періоду минулого року</w:t>
            </w:r>
          </w:p>
        </w:tc>
        <w:tc>
          <w:tcPr>
            <w:tcW w:w="1134" w:type="dxa"/>
            <w:noWrap/>
            <w:vAlign w:val="center"/>
            <w:hideMark/>
          </w:tcPr>
          <w:p w:rsidR="00CE46FF" w:rsidRPr="00993E43" w:rsidRDefault="00CE46FF" w:rsidP="007B5FC8">
            <w:pPr>
              <w:jc w:val="center"/>
              <w:rPr>
                <w:rFonts w:cs="Times New Roman"/>
                <w:sz w:val="22"/>
                <w:szCs w:val="22"/>
              </w:rPr>
            </w:pPr>
            <w:r w:rsidRPr="00993E43">
              <w:rPr>
                <w:rFonts w:cs="Times New Roman"/>
                <w:sz w:val="22"/>
                <w:szCs w:val="22"/>
              </w:rPr>
              <w:t>%</w:t>
            </w:r>
          </w:p>
        </w:tc>
        <w:tc>
          <w:tcPr>
            <w:tcW w:w="1559" w:type="dxa"/>
            <w:noWrap/>
            <w:vAlign w:val="center"/>
          </w:tcPr>
          <w:p w:rsidR="00CE46FF" w:rsidRPr="00993E43" w:rsidRDefault="00CE46FF" w:rsidP="0080506C">
            <w:pPr>
              <w:jc w:val="center"/>
              <w:rPr>
                <w:rFonts w:cs="Times New Roman"/>
                <w:sz w:val="22"/>
                <w:szCs w:val="22"/>
              </w:rPr>
            </w:pPr>
            <w:r w:rsidRPr="00993E43">
              <w:rPr>
                <w:rFonts w:cs="Times New Roman"/>
                <w:sz w:val="22"/>
                <w:szCs w:val="22"/>
              </w:rPr>
              <w:t>210,0</w:t>
            </w:r>
          </w:p>
        </w:tc>
        <w:tc>
          <w:tcPr>
            <w:tcW w:w="1418" w:type="dxa"/>
            <w:vAlign w:val="center"/>
          </w:tcPr>
          <w:p w:rsidR="00CE46FF" w:rsidRPr="007B287D" w:rsidRDefault="00CE46FF" w:rsidP="007B5FC8">
            <w:pPr>
              <w:jc w:val="center"/>
              <w:rPr>
                <w:rFonts w:cs="Times New Roman"/>
                <w:sz w:val="22"/>
                <w:szCs w:val="22"/>
                <w:highlight w:val="yellow"/>
                <w:lang w:val="uk-UA"/>
              </w:rPr>
            </w:pPr>
            <w:r w:rsidRPr="007B287D">
              <w:rPr>
                <w:rFonts w:cs="Times New Roman"/>
                <w:sz w:val="22"/>
                <w:szCs w:val="22"/>
                <w:lang w:val="uk-UA"/>
              </w:rPr>
              <w:t>41,0</w:t>
            </w:r>
          </w:p>
        </w:tc>
        <w:tc>
          <w:tcPr>
            <w:tcW w:w="1842" w:type="dxa"/>
            <w:vAlign w:val="center"/>
            <w:hideMark/>
          </w:tcPr>
          <w:p w:rsidR="00CE46FF" w:rsidRPr="007B287D" w:rsidRDefault="00CE46FF" w:rsidP="007B5FC8">
            <w:pPr>
              <w:jc w:val="center"/>
              <w:rPr>
                <w:rFonts w:cs="Times New Roman"/>
                <w:sz w:val="22"/>
                <w:szCs w:val="22"/>
                <w:highlight w:val="yellow"/>
              </w:rPr>
            </w:pPr>
            <w:r w:rsidRPr="007B287D">
              <w:rPr>
                <w:sz w:val="22"/>
                <w:szCs w:val="22"/>
              </w:rPr>
              <w:t>130%</w:t>
            </w:r>
          </w:p>
        </w:tc>
        <w:tc>
          <w:tcPr>
            <w:tcW w:w="1560" w:type="dxa"/>
            <w:vAlign w:val="center"/>
            <w:hideMark/>
          </w:tcPr>
          <w:p w:rsidR="00CE46FF" w:rsidRPr="007B5FC8" w:rsidRDefault="00CE46FF" w:rsidP="007B5FC8">
            <w:pPr>
              <w:jc w:val="center"/>
              <w:rPr>
                <w:rFonts w:cs="Times New Roman"/>
                <w:sz w:val="22"/>
                <w:szCs w:val="22"/>
                <w:highlight w:val="yellow"/>
                <w:lang w:val="uk-UA"/>
              </w:rPr>
            </w:pPr>
            <w:r w:rsidRPr="007B287D">
              <w:rPr>
                <w:rFonts w:cs="Times New Roman"/>
                <w:sz w:val="22"/>
                <w:szCs w:val="22"/>
                <w:lang w:val="uk-UA"/>
              </w:rPr>
              <w:t>480%</w:t>
            </w:r>
          </w:p>
        </w:tc>
        <w:tc>
          <w:tcPr>
            <w:tcW w:w="1884" w:type="dxa"/>
            <w:vAlign w:val="center"/>
            <w:hideMark/>
          </w:tcPr>
          <w:p w:rsidR="00CE46FF" w:rsidRPr="007B5FC8" w:rsidRDefault="00CE46FF" w:rsidP="007B5FC8">
            <w:pPr>
              <w:jc w:val="center"/>
              <w:rPr>
                <w:rFonts w:cs="Times New Roman"/>
                <w:sz w:val="22"/>
                <w:szCs w:val="22"/>
                <w:highlight w:val="yellow"/>
              </w:rPr>
            </w:pPr>
            <w:r w:rsidRPr="007B287D">
              <w:rPr>
                <w:rFonts w:cs="Times New Roman"/>
                <w:sz w:val="22"/>
                <w:szCs w:val="22"/>
              </w:rPr>
              <w:t>х</w:t>
            </w:r>
          </w:p>
        </w:tc>
      </w:tr>
      <w:tr w:rsidR="00CE46FF" w:rsidRPr="007B5FC8" w:rsidTr="007B287D">
        <w:trPr>
          <w:trHeight w:val="567"/>
          <w:jc w:val="center"/>
        </w:trPr>
        <w:tc>
          <w:tcPr>
            <w:tcW w:w="4609" w:type="dxa"/>
            <w:hideMark/>
          </w:tcPr>
          <w:p w:rsidR="00CE46FF" w:rsidRPr="00993E43" w:rsidRDefault="00CE46FF" w:rsidP="007B5FC8">
            <w:pPr>
              <w:jc w:val="both"/>
              <w:rPr>
                <w:rFonts w:cs="Times New Roman"/>
                <w:sz w:val="22"/>
                <w:szCs w:val="22"/>
              </w:rPr>
            </w:pPr>
            <w:r w:rsidRPr="00993E43">
              <w:rPr>
                <w:rFonts w:cs="Times New Roman"/>
                <w:sz w:val="22"/>
                <w:szCs w:val="22"/>
              </w:rPr>
              <w:t>Обсяг прийнятого в експлуатацію житла у розрахунку на 10 тис.населення</w:t>
            </w:r>
          </w:p>
        </w:tc>
        <w:tc>
          <w:tcPr>
            <w:tcW w:w="1134" w:type="dxa"/>
            <w:noWrap/>
            <w:vAlign w:val="center"/>
            <w:hideMark/>
          </w:tcPr>
          <w:p w:rsidR="00CE46FF" w:rsidRPr="00993E43" w:rsidRDefault="00CE46FF" w:rsidP="007B5FC8">
            <w:pPr>
              <w:jc w:val="center"/>
              <w:rPr>
                <w:rFonts w:cs="Times New Roman"/>
                <w:sz w:val="22"/>
                <w:szCs w:val="22"/>
              </w:rPr>
            </w:pPr>
            <w:r w:rsidRPr="00993E43">
              <w:rPr>
                <w:rFonts w:cs="Times New Roman"/>
                <w:sz w:val="22"/>
                <w:szCs w:val="22"/>
              </w:rPr>
              <w:t>м</w:t>
            </w:r>
            <w:r w:rsidRPr="00993E43">
              <w:rPr>
                <w:rFonts w:cs="Times New Roman"/>
                <w:sz w:val="22"/>
                <w:szCs w:val="22"/>
                <w:vertAlign w:val="superscript"/>
              </w:rPr>
              <w:t>2</w:t>
            </w:r>
          </w:p>
        </w:tc>
        <w:tc>
          <w:tcPr>
            <w:tcW w:w="1559" w:type="dxa"/>
            <w:noWrap/>
            <w:vAlign w:val="center"/>
            <w:hideMark/>
          </w:tcPr>
          <w:p w:rsidR="00CE46FF" w:rsidRPr="00993E43" w:rsidRDefault="00CE46FF" w:rsidP="007B5FC8">
            <w:pPr>
              <w:jc w:val="center"/>
              <w:rPr>
                <w:rFonts w:cs="Times New Roman"/>
                <w:sz w:val="22"/>
                <w:szCs w:val="22"/>
              </w:rPr>
            </w:pPr>
            <w:r w:rsidRPr="00993E43">
              <w:rPr>
                <w:rFonts w:cs="Times New Roman"/>
                <w:sz w:val="22"/>
                <w:szCs w:val="22"/>
              </w:rPr>
              <w:t>8 622,0</w:t>
            </w:r>
          </w:p>
        </w:tc>
        <w:tc>
          <w:tcPr>
            <w:tcW w:w="1418" w:type="dxa"/>
            <w:vAlign w:val="center"/>
            <w:hideMark/>
          </w:tcPr>
          <w:p w:rsidR="00CE46FF" w:rsidRPr="007B287D" w:rsidRDefault="00CE46FF" w:rsidP="007B5FC8">
            <w:pPr>
              <w:jc w:val="center"/>
              <w:rPr>
                <w:rFonts w:cs="Times New Roman"/>
                <w:sz w:val="22"/>
                <w:szCs w:val="22"/>
                <w:lang w:val="uk-UA"/>
              </w:rPr>
            </w:pPr>
            <w:r w:rsidRPr="007B287D">
              <w:rPr>
                <w:rFonts w:cs="Times New Roman"/>
                <w:sz w:val="22"/>
                <w:szCs w:val="22"/>
                <w:lang w:val="uk-UA"/>
              </w:rPr>
              <w:t>3</w:t>
            </w:r>
            <w:r>
              <w:rPr>
                <w:rFonts w:cs="Times New Roman"/>
                <w:sz w:val="22"/>
                <w:szCs w:val="22"/>
                <w:lang w:val="uk-UA"/>
              </w:rPr>
              <w:t xml:space="preserve"> </w:t>
            </w:r>
            <w:r w:rsidRPr="007B287D">
              <w:rPr>
                <w:rFonts w:cs="Times New Roman"/>
                <w:sz w:val="22"/>
                <w:szCs w:val="22"/>
                <w:lang w:val="uk-UA"/>
              </w:rPr>
              <w:t>493,2</w:t>
            </w:r>
          </w:p>
        </w:tc>
        <w:tc>
          <w:tcPr>
            <w:tcW w:w="1842" w:type="dxa"/>
            <w:vAlign w:val="center"/>
          </w:tcPr>
          <w:p w:rsidR="00CE46FF" w:rsidRPr="007B287D" w:rsidRDefault="00CE46FF" w:rsidP="007B5FC8">
            <w:pPr>
              <w:jc w:val="center"/>
              <w:rPr>
                <w:rFonts w:cs="Times New Roman"/>
                <w:sz w:val="22"/>
                <w:szCs w:val="22"/>
              </w:rPr>
            </w:pPr>
            <w:r w:rsidRPr="007B287D">
              <w:rPr>
                <w:sz w:val="22"/>
                <w:szCs w:val="22"/>
              </w:rPr>
              <w:t>496,2</w:t>
            </w:r>
          </w:p>
        </w:tc>
        <w:tc>
          <w:tcPr>
            <w:tcW w:w="1560" w:type="dxa"/>
            <w:vAlign w:val="center"/>
          </w:tcPr>
          <w:p w:rsidR="00CE46FF" w:rsidRPr="007B287D" w:rsidRDefault="00CE46FF" w:rsidP="007B5FC8">
            <w:pPr>
              <w:jc w:val="center"/>
              <w:rPr>
                <w:rFonts w:cs="Times New Roman"/>
                <w:sz w:val="22"/>
                <w:szCs w:val="22"/>
                <w:lang w:val="uk-UA"/>
              </w:rPr>
            </w:pPr>
            <w:r>
              <w:rPr>
                <w:rFonts w:cs="Times New Roman"/>
                <w:sz w:val="22"/>
                <w:szCs w:val="22"/>
                <w:lang w:val="uk-UA"/>
              </w:rPr>
              <w:t>11170,1*</w:t>
            </w:r>
          </w:p>
        </w:tc>
        <w:tc>
          <w:tcPr>
            <w:tcW w:w="1884" w:type="dxa"/>
            <w:vAlign w:val="center"/>
            <w:hideMark/>
          </w:tcPr>
          <w:p w:rsidR="00CE46FF" w:rsidRPr="007B287D" w:rsidRDefault="00CE46FF" w:rsidP="007B5FC8">
            <w:pPr>
              <w:jc w:val="center"/>
              <w:rPr>
                <w:rFonts w:cs="Times New Roman"/>
                <w:sz w:val="22"/>
                <w:szCs w:val="22"/>
                <w:lang w:val="uk-UA"/>
              </w:rPr>
            </w:pPr>
            <w:r w:rsidRPr="007B287D">
              <w:rPr>
                <w:rFonts w:cs="Times New Roman"/>
                <w:sz w:val="22"/>
                <w:szCs w:val="22"/>
                <w:lang w:val="uk-UA"/>
              </w:rPr>
              <w:t>х</w:t>
            </w:r>
          </w:p>
        </w:tc>
      </w:tr>
      <w:tr w:rsidR="00CE46FF" w:rsidRPr="007B287D" w:rsidTr="00B07213">
        <w:trPr>
          <w:trHeight w:val="405"/>
          <w:jc w:val="center"/>
        </w:trPr>
        <w:tc>
          <w:tcPr>
            <w:tcW w:w="14006" w:type="dxa"/>
            <w:gridSpan w:val="7"/>
            <w:vAlign w:val="center"/>
            <w:hideMark/>
          </w:tcPr>
          <w:p w:rsidR="00CE46FF" w:rsidRPr="007B287D" w:rsidRDefault="00CE46FF" w:rsidP="007B5FC8">
            <w:pPr>
              <w:jc w:val="center"/>
              <w:rPr>
                <w:rFonts w:cs="Times New Roman"/>
                <w:sz w:val="22"/>
                <w:szCs w:val="22"/>
              </w:rPr>
            </w:pPr>
            <w:r w:rsidRPr="007B287D">
              <w:rPr>
                <w:rFonts w:cs="Times New Roman"/>
                <w:sz w:val="22"/>
                <w:szCs w:val="22"/>
                <w:u w:val="single"/>
              </w:rPr>
              <w:t>ЖИТЛОВО-КОМУНАЛЬНЕ ГОСПОДАРСТВО</w:t>
            </w:r>
          </w:p>
        </w:tc>
      </w:tr>
      <w:tr w:rsidR="00CE46FF" w:rsidRPr="007B5FC8" w:rsidTr="007B287D">
        <w:trPr>
          <w:trHeight w:val="569"/>
          <w:jc w:val="center"/>
        </w:trPr>
        <w:tc>
          <w:tcPr>
            <w:tcW w:w="4609" w:type="dxa"/>
            <w:hideMark/>
          </w:tcPr>
          <w:p w:rsidR="00CE46FF" w:rsidRPr="007B287D" w:rsidRDefault="00CE46FF" w:rsidP="007B5FC8">
            <w:pPr>
              <w:jc w:val="both"/>
              <w:rPr>
                <w:rFonts w:cs="Times New Roman"/>
                <w:sz w:val="22"/>
                <w:szCs w:val="22"/>
              </w:rPr>
            </w:pPr>
            <w:r w:rsidRPr="007B287D">
              <w:rPr>
                <w:rFonts w:cs="Times New Roman"/>
                <w:sz w:val="22"/>
                <w:szCs w:val="22"/>
              </w:rPr>
              <w:t xml:space="preserve">Забезпеченість населення житлом, м2 загальної площі в середньому на одну особу  </w:t>
            </w:r>
          </w:p>
        </w:tc>
        <w:tc>
          <w:tcPr>
            <w:tcW w:w="1134" w:type="dxa"/>
            <w:noWrap/>
            <w:vAlign w:val="center"/>
            <w:hideMark/>
          </w:tcPr>
          <w:p w:rsidR="00CE46FF" w:rsidRPr="007B287D" w:rsidRDefault="00CE46FF" w:rsidP="007B5FC8">
            <w:pPr>
              <w:jc w:val="center"/>
              <w:rPr>
                <w:rFonts w:cs="Times New Roman"/>
                <w:sz w:val="22"/>
                <w:szCs w:val="22"/>
              </w:rPr>
            </w:pPr>
            <w:r w:rsidRPr="007B287D">
              <w:rPr>
                <w:rFonts w:cs="Times New Roman"/>
                <w:sz w:val="22"/>
                <w:szCs w:val="22"/>
              </w:rPr>
              <w:t>м</w:t>
            </w:r>
            <w:r w:rsidRPr="007B287D">
              <w:rPr>
                <w:rFonts w:cs="Times New Roman"/>
                <w:sz w:val="22"/>
                <w:szCs w:val="22"/>
                <w:vertAlign w:val="superscript"/>
              </w:rPr>
              <w:t>2</w:t>
            </w:r>
          </w:p>
        </w:tc>
        <w:tc>
          <w:tcPr>
            <w:tcW w:w="1559" w:type="dxa"/>
            <w:vAlign w:val="center"/>
            <w:hideMark/>
          </w:tcPr>
          <w:p w:rsidR="00CE46FF" w:rsidRPr="007B287D" w:rsidRDefault="00CE46FF" w:rsidP="007B5FC8">
            <w:pPr>
              <w:jc w:val="center"/>
              <w:rPr>
                <w:rFonts w:cs="Times New Roman"/>
                <w:sz w:val="22"/>
                <w:szCs w:val="22"/>
              </w:rPr>
            </w:pPr>
            <w:r w:rsidRPr="007B287D">
              <w:rPr>
                <w:rFonts w:cs="Times New Roman"/>
                <w:sz w:val="22"/>
                <w:szCs w:val="22"/>
              </w:rPr>
              <w:t>28,4</w:t>
            </w:r>
          </w:p>
        </w:tc>
        <w:tc>
          <w:tcPr>
            <w:tcW w:w="1418" w:type="dxa"/>
            <w:vAlign w:val="center"/>
            <w:hideMark/>
          </w:tcPr>
          <w:p w:rsidR="00CE46FF" w:rsidRPr="007B287D" w:rsidRDefault="00CE46FF" w:rsidP="007B5FC8">
            <w:pPr>
              <w:jc w:val="center"/>
              <w:rPr>
                <w:rFonts w:cs="Times New Roman"/>
                <w:sz w:val="22"/>
                <w:szCs w:val="22"/>
                <w:lang w:val="uk-UA"/>
              </w:rPr>
            </w:pPr>
            <w:r w:rsidRPr="007B287D">
              <w:rPr>
                <w:rFonts w:cs="Times New Roman"/>
                <w:sz w:val="22"/>
                <w:szCs w:val="22"/>
                <w:lang w:val="uk-UA"/>
              </w:rPr>
              <w:t>28,7</w:t>
            </w:r>
          </w:p>
        </w:tc>
        <w:tc>
          <w:tcPr>
            <w:tcW w:w="1842" w:type="dxa"/>
            <w:vAlign w:val="center"/>
            <w:hideMark/>
          </w:tcPr>
          <w:p w:rsidR="00CE46FF" w:rsidRPr="007B287D" w:rsidRDefault="00CE46FF" w:rsidP="007B5FC8">
            <w:pPr>
              <w:jc w:val="center"/>
              <w:rPr>
                <w:rFonts w:cs="Times New Roman"/>
                <w:sz w:val="22"/>
                <w:szCs w:val="22"/>
              </w:rPr>
            </w:pPr>
            <w:r w:rsidRPr="007B287D">
              <w:rPr>
                <w:sz w:val="22"/>
                <w:szCs w:val="22"/>
              </w:rPr>
              <w:t>29,4</w:t>
            </w:r>
          </w:p>
        </w:tc>
        <w:tc>
          <w:tcPr>
            <w:tcW w:w="1560" w:type="dxa"/>
            <w:vAlign w:val="center"/>
          </w:tcPr>
          <w:p w:rsidR="00CE46FF" w:rsidRPr="007B287D" w:rsidRDefault="00CE46FF" w:rsidP="007B5FC8">
            <w:pPr>
              <w:jc w:val="center"/>
              <w:rPr>
                <w:rFonts w:cs="Times New Roman"/>
                <w:sz w:val="22"/>
                <w:szCs w:val="22"/>
                <w:lang w:val="uk-UA"/>
              </w:rPr>
            </w:pPr>
            <w:r w:rsidRPr="007B287D">
              <w:rPr>
                <w:rFonts w:cs="Times New Roman"/>
                <w:sz w:val="22"/>
                <w:szCs w:val="22"/>
                <w:lang w:val="uk-UA"/>
              </w:rPr>
              <w:t>х</w:t>
            </w:r>
          </w:p>
        </w:tc>
        <w:tc>
          <w:tcPr>
            <w:tcW w:w="1884" w:type="dxa"/>
            <w:vAlign w:val="center"/>
            <w:hideMark/>
          </w:tcPr>
          <w:p w:rsidR="00CE46FF" w:rsidRPr="007B287D" w:rsidRDefault="00CE46FF" w:rsidP="007B5FC8">
            <w:pPr>
              <w:jc w:val="center"/>
              <w:rPr>
                <w:rFonts w:cs="Times New Roman"/>
                <w:sz w:val="22"/>
                <w:szCs w:val="22"/>
                <w:lang w:val="uk-UA"/>
              </w:rPr>
            </w:pPr>
            <w:r w:rsidRPr="007B287D">
              <w:rPr>
                <w:rFonts w:cs="Times New Roman"/>
                <w:sz w:val="22"/>
                <w:szCs w:val="22"/>
                <w:lang w:val="uk-UA"/>
              </w:rPr>
              <w:t>х</w:t>
            </w:r>
          </w:p>
        </w:tc>
      </w:tr>
      <w:tr w:rsidR="00CE46FF" w:rsidRPr="00B77702" w:rsidTr="00B07213">
        <w:trPr>
          <w:trHeight w:val="409"/>
          <w:jc w:val="center"/>
        </w:trPr>
        <w:tc>
          <w:tcPr>
            <w:tcW w:w="14006" w:type="dxa"/>
            <w:gridSpan w:val="7"/>
            <w:vAlign w:val="center"/>
            <w:hideMark/>
          </w:tcPr>
          <w:p w:rsidR="00CE46FF" w:rsidRPr="00B77702" w:rsidRDefault="00CE46FF" w:rsidP="007B5FC8">
            <w:pPr>
              <w:jc w:val="center"/>
              <w:rPr>
                <w:rFonts w:cs="Times New Roman"/>
                <w:sz w:val="22"/>
                <w:szCs w:val="22"/>
              </w:rPr>
            </w:pPr>
            <w:r w:rsidRPr="00B77702">
              <w:rPr>
                <w:rFonts w:cs="Times New Roman"/>
                <w:sz w:val="22"/>
                <w:szCs w:val="22"/>
                <w:u w:val="single"/>
              </w:rPr>
              <w:t>НАСЕЛЕННЯ ТА РИНОК ПРАЦІ</w:t>
            </w:r>
          </w:p>
        </w:tc>
      </w:tr>
      <w:tr w:rsidR="00CE46FF" w:rsidRPr="00B77702" w:rsidTr="007B287D">
        <w:trPr>
          <w:trHeight w:val="530"/>
          <w:jc w:val="center"/>
        </w:trPr>
        <w:tc>
          <w:tcPr>
            <w:tcW w:w="4609" w:type="dxa"/>
            <w:hideMark/>
          </w:tcPr>
          <w:p w:rsidR="00CE46FF" w:rsidRPr="00B77702" w:rsidRDefault="00CE46FF" w:rsidP="007B5FC8">
            <w:pPr>
              <w:jc w:val="both"/>
              <w:rPr>
                <w:rFonts w:cs="Times New Roman"/>
                <w:sz w:val="22"/>
                <w:szCs w:val="22"/>
              </w:rPr>
            </w:pPr>
            <w:r w:rsidRPr="00B77702">
              <w:rPr>
                <w:rFonts w:cs="Times New Roman"/>
                <w:sz w:val="22"/>
                <w:szCs w:val="22"/>
              </w:rPr>
              <w:t>Середноьорічна чисельність наявного населення</w:t>
            </w:r>
          </w:p>
        </w:tc>
        <w:tc>
          <w:tcPr>
            <w:tcW w:w="1134" w:type="dxa"/>
            <w:vAlign w:val="center"/>
            <w:hideMark/>
          </w:tcPr>
          <w:p w:rsidR="00CE46FF" w:rsidRPr="00B77702" w:rsidRDefault="00CE46FF" w:rsidP="007B5FC8">
            <w:pPr>
              <w:jc w:val="center"/>
              <w:rPr>
                <w:rFonts w:cs="Times New Roman"/>
                <w:sz w:val="22"/>
                <w:szCs w:val="22"/>
              </w:rPr>
            </w:pPr>
            <w:r w:rsidRPr="00B77702">
              <w:rPr>
                <w:rFonts w:cs="Times New Roman"/>
                <w:sz w:val="22"/>
                <w:szCs w:val="22"/>
              </w:rPr>
              <w:t>тис. осіб</w:t>
            </w:r>
          </w:p>
        </w:tc>
        <w:tc>
          <w:tcPr>
            <w:tcW w:w="1559" w:type="dxa"/>
            <w:vAlign w:val="center"/>
          </w:tcPr>
          <w:p w:rsidR="00CE46FF" w:rsidRPr="00B77702" w:rsidRDefault="00CE46FF" w:rsidP="0080506C">
            <w:pPr>
              <w:jc w:val="center"/>
              <w:rPr>
                <w:rFonts w:cs="Times New Roman"/>
                <w:sz w:val="22"/>
                <w:szCs w:val="22"/>
              </w:rPr>
            </w:pPr>
            <w:r w:rsidRPr="00B77702">
              <w:rPr>
                <w:rFonts w:cs="Times New Roman"/>
                <w:sz w:val="22"/>
                <w:szCs w:val="22"/>
              </w:rPr>
              <w:t>256,0</w:t>
            </w:r>
          </w:p>
        </w:tc>
        <w:tc>
          <w:tcPr>
            <w:tcW w:w="1418" w:type="dxa"/>
            <w:vAlign w:val="center"/>
          </w:tcPr>
          <w:p w:rsidR="00CE46FF" w:rsidRPr="00B77702" w:rsidRDefault="00CE46FF" w:rsidP="007B5FC8">
            <w:pPr>
              <w:jc w:val="center"/>
              <w:rPr>
                <w:rFonts w:cs="Times New Roman"/>
                <w:sz w:val="22"/>
                <w:szCs w:val="22"/>
                <w:lang w:val="uk-UA"/>
              </w:rPr>
            </w:pPr>
            <w:r w:rsidRPr="00B77702">
              <w:rPr>
                <w:rFonts w:cs="Times New Roman"/>
                <w:sz w:val="22"/>
                <w:szCs w:val="22"/>
                <w:lang w:val="uk-UA"/>
              </w:rPr>
              <w:t>259,0</w:t>
            </w:r>
          </w:p>
        </w:tc>
        <w:tc>
          <w:tcPr>
            <w:tcW w:w="1842" w:type="dxa"/>
            <w:vAlign w:val="center"/>
            <w:hideMark/>
          </w:tcPr>
          <w:p w:rsidR="00CE46FF" w:rsidRPr="00B77702" w:rsidRDefault="00CE46FF" w:rsidP="0080506C">
            <w:pPr>
              <w:jc w:val="center"/>
              <w:rPr>
                <w:sz w:val="22"/>
                <w:szCs w:val="22"/>
              </w:rPr>
            </w:pPr>
            <w:r w:rsidRPr="00B77702">
              <w:rPr>
                <w:sz w:val="22"/>
                <w:szCs w:val="22"/>
              </w:rPr>
              <w:t>262,0</w:t>
            </w:r>
          </w:p>
        </w:tc>
        <w:tc>
          <w:tcPr>
            <w:tcW w:w="1560" w:type="dxa"/>
            <w:vAlign w:val="center"/>
            <w:hideMark/>
          </w:tcPr>
          <w:p w:rsidR="00CE46FF" w:rsidRPr="00B77702" w:rsidRDefault="00CE46FF" w:rsidP="00B77702">
            <w:pPr>
              <w:jc w:val="center"/>
              <w:rPr>
                <w:rFonts w:cs="Times New Roman"/>
                <w:sz w:val="22"/>
                <w:szCs w:val="22"/>
                <w:lang w:val="uk-UA"/>
              </w:rPr>
            </w:pPr>
            <w:r w:rsidRPr="00B77702">
              <w:rPr>
                <w:rFonts w:cs="Times New Roman"/>
                <w:sz w:val="22"/>
                <w:szCs w:val="22"/>
                <w:lang w:val="uk-UA"/>
              </w:rPr>
              <w:t>263,1**</w:t>
            </w:r>
          </w:p>
        </w:tc>
        <w:tc>
          <w:tcPr>
            <w:tcW w:w="1884" w:type="dxa"/>
            <w:vAlign w:val="center"/>
            <w:hideMark/>
          </w:tcPr>
          <w:p w:rsidR="00CE46FF" w:rsidRPr="00B77702" w:rsidRDefault="00CE46FF" w:rsidP="007B5FC8">
            <w:pPr>
              <w:jc w:val="center"/>
              <w:rPr>
                <w:rFonts w:cs="Times New Roman"/>
                <w:sz w:val="22"/>
                <w:szCs w:val="22"/>
              </w:rPr>
            </w:pPr>
            <w:r w:rsidRPr="00B77702">
              <w:rPr>
                <w:rFonts w:cs="Times New Roman"/>
                <w:sz w:val="22"/>
                <w:szCs w:val="22"/>
              </w:rPr>
              <w:t>101%</w:t>
            </w:r>
          </w:p>
        </w:tc>
      </w:tr>
      <w:tr w:rsidR="00CE46FF" w:rsidRPr="007B5FC8" w:rsidTr="007B287D">
        <w:trPr>
          <w:trHeight w:val="530"/>
          <w:jc w:val="center"/>
        </w:trPr>
        <w:tc>
          <w:tcPr>
            <w:tcW w:w="4609" w:type="dxa"/>
            <w:hideMark/>
          </w:tcPr>
          <w:p w:rsidR="00CE46FF" w:rsidRPr="00B77702" w:rsidRDefault="00CE46FF" w:rsidP="007B5FC8">
            <w:pPr>
              <w:rPr>
                <w:rFonts w:cs="Times New Roman"/>
                <w:sz w:val="22"/>
                <w:szCs w:val="22"/>
              </w:rPr>
            </w:pPr>
            <w:r w:rsidRPr="00B77702">
              <w:rPr>
                <w:rFonts w:cs="Times New Roman"/>
                <w:sz w:val="22"/>
                <w:szCs w:val="22"/>
              </w:rPr>
              <w:t>Навантаження незайнятого населення на одне вільне робоче місце (вакансій)</w:t>
            </w:r>
          </w:p>
        </w:tc>
        <w:tc>
          <w:tcPr>
            <w:tcW w:w="1134" w:type="dxa"/>
            <w:vAlign w:val="center"/>
            <w:hideMark/>
          </w:tcPr>
          <w:p w:rsidR="00CE46FF" w:rsidRPr="00B77702" w:rsidRDefault="00CE46FF" w:rsidP="007B5FC8">
            <w:pPr>
              <w:jc w:val="center"/>
              <w:rPr>
                <w:rFonts w:cs="Times New Roman"/>
                <w:sz w:val="22"/>
                <w:szCs w:val="22"/>
              </w:rPr>
            </w:pPr>
            <w:r w:rsidRPr="00B77702">
              <w:rPr>
                <w:rFonts w:cs="Times New Roman"/>
                <w:sz w:val="22"/>
                <w:szCs w:val="22"/>
              </w:rPr>
              <w:t>осіб</w:t>
            </w:r>
          </w:p>
        </w:tc>
        <w:tc>
          <w:tcPr>
            <w:tcW w:w="1559" w:type="dxa"/>
            <w:vAlign w:val="center"/>
          </w:tcPr>
          <w:p w:rsidR="00CE46FF" w:rsidRPr="00B77702" w:rsidRDefault="00CE46FF" w:rsidP="0080506C">
            <w:pPr>
              <w:jc w:val="center"/>
              <w:rPr>
                <w:rFonts w:cs="Times New Roman"/>
                <w:sz w:val="22"/>
                <w:szCs w:val="22"/>
              </w:rPr>
            </w:pPr>
            <w:r w:rsidRPr="00B77702">
              <w:rPr>
                <w:rFonts w:cs="Times New Roman"/>
                <w:sz w:val="22"/>
                <w:szCs w:val="22"/>
              </w:rPr>
              <w:t>6,0</w:t>
            </w:r>
          </w:p>
        </w:tc>
        <w:tc>
          <w:tcPr>
            <w:tcW w:w="1418" w:type="dxa"/>
            <w:vAlign w:val="center"/>
          </w:tcPr>
          <w:p w:rsidR="00CE46FF" w:rsidRPr="00B77702" w:rsidRDefault="00CE46FF" w:rsidP="007B5FC8">
            <w:pPr>
              <w:jc w:val="center"/>
              <w:rPr>
                <w:rFonts w:cs="Times New Roman"/>
                <w:sz w:val="22"/>
                <w:szCs w:val="22"/>
                <w:lang w:val="uk-UA"/>
              </w:rPr>
            </w:pPr>
            <w:r w:rsidRPr="00B77702">
              <w:rPr>
                <w:rFonts w:cs="Times New Roman"/>
                <w:sz w:val="22"/>
                <w:szCs w:val="22"/>
                <w:lang w:val="uk-UA"/>
              </w:rPr>
              <w:t>3</w:t>
            </w:r>
          </w:p>
        </w:tc>
        <w:tc>
          <w:tcPr>
            <w:tcW w:w="1842" w:type="dxa"/>
            <w:vAlign w:val="center"/>
            <w:hideMark/>
          </w:tcPr>
          <w:p w:rsidR="00CE46FF" w:rsidRPr="00B77702" w:rsidRDefault="00CE46FF" w:rsidP="0080506C">
            <w:pPr>
              <w:jc w:val="center"/>
              <w:rPr>
                <w:sz w:val="22"/>
                <w:szCs w:val="22"/>
              </w:rPr>
            </w:pPr>
            <w:r w:rsidRPr="00B77702">
              <w:rPr>
                <w:sz w:val="22"/>
                <w:szCs w:val="22"/>
              </w:rPr>
              <w:t>1</w:t>
            </w:r>
          </w:p>
        </w:tc>
        <w:tc>
          <w:tcPr>
            <w:tcW w:w="1560" w:type="dxa"/>
            <w:vAlign w:val="center"/>
            <w:hideMark/>
          </w:tcPr>
          <w:p w:rsidR="00CE46FF" w:rsidRPr="00B77702" w:rsidRDefault="00CE46FF" w:rsidP="007B5FC8">
            <w:pPr>
              <w:jc w:val="center"/>
              <w:rPr>
                <w:rFonts w:cs="Times New Roman"/>
                <w:sz w:val="22"/>
                <w:szCs w:val="22"/>
              </w:rPr>
            </w:pPr>
            <w:r w:rsidRPr="00B77702">
              <w:rPr>
                <w:rFonts w:cs="Times New Roman"/>
                <w:sz w:val="22"/>
                <w:szCs w:val="22"/>
              </w:rPr>
              <w:t>3,0</w:t>
            </w:r>
          </w:p>
        </w:tc>
        <w:tc>
          <w:tcPr>
            <w:tcW w:w="1884" w:type="dxa"/>
            <w:vAlign w:val="center"/>
            <w:hideMark/>
          </w:tcPr>
          <w:p w:rsidR="00CE46FF" w:rsidRPr="00B77702" w:rsidRDefault="00CE46FF" w:rsidP="007B5FC8">
            <w:pPr>
              <w:jc w:val="center"/>
              <w:rPr>
                <w:rFonts w:cs="Times New Roman"/>
                <w:sz w:val="22"/>
                <w:szCs w:val="22"/>
              </w:rPr>
            </w:pPr>
            <w:r w:rsidRPr="00B77702">
              <w:rPr>
                <w:rFonts w:cs="Times New Roman"/>
                <w:sz w:val="22"/>
                <w:szCs w:val="22"/>
              </w:rPr>
              <w:t>200%</w:t>
            </w:r>
          </w:p>
        </w:tc>
      </w:tr>
      <w:tr w:rsidR="00CE46FF" w:rsidRPr="007B5FC8" w:rsidTr="00B07213">
        <w:trPr>
          <w:trHeight w:val="410"/>
          <w:jc w:val="center"/>
        </w:trPr>
        <w:tc>
          <w:tcPr>
            <w:tcW w:w="14006" w:type="dxa"/>
            <w:gridSpan w:val="7"/>
            <w:vAlign w:val="center"/>
            <w:hideMark/>
          </w:tcPr>
          <w:p w:rsidR="00CE46FF" w:rsidRPr="00B77702" w:rsidRDefault="00CE46FF" w:rsidP="007B5FC8">
            <w:pPr>
              <w:jc w:val="center"/>
              <w:rPr>
                <w:rFonts w:cs="Times New Roman"/>
                <w:sz w:val="22"/>
                <w:szCs w:val="22"/>
              </w:rPr>
            </w:pPr>
            <w:r w:rsidRPr="00B77702">
              <w:rPr>
                <w:rFonts w:cs="Times New Roman"/>
                <w:sz w:val="22"/>
                <w:szCs w:val="22"/>
                <w:u w:val="single"/>
              </w:rPr>
              <w:t>ПОКАЗНИКИ РІВНЯ ЖИТТЯ</w:t>
            </w:r>
          </w:p>
        </w:tc>
      </w:tr>
      <w:tr w:rsidR="00CE46FF" w:rsidRPr="00777E72" w:rsidTr="00B77702">
        <w:trPr>
          <w:trHeight w:val="415"/>
          <w:jc w:val="center"/>
        </w:trPr>
        <w:tc>
          <w:tcPr>
            <w:tcW w:w="4609" w:type="dxa"/>
            <w:hideMark/>
          </w:tcPr>
          <w:p w:rsidR="00CE46FF" w:rsidRPr="00777E72" w:rsidRDefault="00CE46FF" w:rsidP="007B5FC8">
            <w:pPr>
              <w:jc w:val="both"/>
              <w:rPr>
                <w:rFonts w:cs="Times New Roman"/>
                <w:sz w:val="22"/>
                <w:szCs w:val="22"/>
              </w:rPr>
            </w:pPr>
            <w:r w:rsidRPr="00777E72">
              <w:rPr>
                <w:rFonts w:cs="Times New Roman"/>
                <w:sz w:val="22"/>
                <w:szCs w:val="22"/>
              </w:rPr>
              <w:t>Середньомісячна заробітна плата одного штатного працівника</w:t>
            </w:r>
          </w:p>
        </w:tc>
        <w:tc>
          <w:tcPr>
            <w:tcW w:w="1134" w:type="dxa"/>
            <w:vAlign w:val="center"/>
            <w:hideMark/>
          </w:tcPr>
          <w:p w:rsidR="00CE46FF" w:rsidRPr="00777E72" w:rsidRDefault="00CE46FF" w:rsidP="007B5FC8">
            <w:pPr>
              <w:jc w:val="center"/>
              <w:rPr>
                <w:rFonts w:cs="Times New Roman"/>
                <w:sz w:val="22"/>
                <w:szCs w:val="22"/>
              </w:rPr>
            </w:pPr>
            <w:r w:rsidRPr="00777E72">
              <w:rPr>
                <w:rFonts w:cs="Times New Roman"/>
                <w:sz w:val="22"/>
                <w:szCs w:val="22"/>
              </w:rPr>
              <w:t>грн.</w:t>
            </w:r>
          </w:p>
        </w:tc>
        <w:tc>
          <w:tcPr>
            <w:tcW w:w="1559" w:type="dxa"/>
            <w:vAlign w:val="center"/>
          </w:tcPr>
          <w:p w:rsidR="00CE46FF" w:rsidRPr="00777E72" w:rsidRDefault="00CE46FF" w:rsidP="0080506C">
            <w:pPr>
              <w:jc w:val="center"/>
              <w:rPr>
                <w:rFonts w:cs="Times New Roman"/>
                <w:sz w:val="22"/>
                <w:szCs w:val="22"/>
              </w:rPr>
            </w:pPr>
            <w:r w:rsidRPr="00777E72">
              <w:rPr>
                <w:rFonts w:cs="Times New Roman"/>
                <w:sz w:val="22"/>
                <w:szCs w:val="22"/>
              </w:rPr>
              <w:t>6 205</w:t>
            </w:r>
          </w:p>
        </w:tc>
        <w:tc>
          <w:tcPr>
            <w:tcW w:w="1418" w:type="dxa"/>
            <w:vAlign w:val="center"/>
          </w:tcPr>
          <w:p w:rsidR="00CE46FF" w:rsidRPr="00777E72" w:rsidRDefault="00CE46FF" w:rsidP="007B5FC8">
            <w:pPr>
              <w:jc w:val="center"/>
              <w:rPr>
                <w:rFonts w:cs="Times New Roman"/>
                <w:sz w:val="22"/>
                <w:szCs w:val="22"/>
                <w:lang w:val="uk-UA"/>
              </w:rPr>
            </w:pPr>
            <w:r w:rsidRPr="00777E72">
              <w:rPr>
                <w:rFonts w:cs="Times New Roman"/>
                <w:sz w:val="22"/>
                <w:szCs w:val="22"/>
                <w:lang w:val="uk-UA"/>
              </w:rPr>
              <w:t>7 687</w:t>
            </w:r>
          </w:p>
        </w:tc>
        <w:tc>
          <w:tcPr>
            <w:tcW w:w="1842" w:type="dxa"/>
            <w:vAlign w:val="center"/>
            <w:hideMark/>
          </w:tcPr>
          <w:p w:rsidR="00CE46FF" w:rsidRPr="00777E72" w:rsidRDefault="00CE46FF" w:rsidP="0080506C">
            <w:pPr>
              <w:jc w:val="center"/>
              <w:rPr>
                <w:sz w:val="22"/>
                <w:szCs w:val="22"/>
              </w:rPr>
            </w:pPr>
            <w:r w:rsidRPr="00777E72">
              <w:rPr>
                <w:sz w:val="22"/>
                <w:szCs w:val="22"/>
              </w:rPr>
              <w:t>9 950</w:t>
            </w:r>
          </w:p>
        </w:tc>
        <w:tc>
          <w:tcPr>
            <w:tcW w:w="1560" w:type="dxa"/>
            <w:vAlign w:val="center"/>
          </w:tcPr>
          <w:p w:rsidR="00CE46FF" w:rsidRPr="00777E72" w:rsidRDefault="00CE46FF" w:rsidP="007B5FC8">
            <w:pPr>
              <w:jc w:val="center"/>
              <w:rPr>
                <w:rFonts w:cs="Times New Roman"/>
                <w:sz w:val="22"/>
                <w:szCs w:val="22"/>
                <w:lang w:val="uk-UA"/>
              </w:rPr>
            </w:pPr>
            <w:r w:rsidRPr="00777E72">
              <w:rPr>
                <w:rFonts w:cs="Times New Roman"/>
                <w:sz w:val="22"/>
                <w:szCs w:val="22"/>
                <w:lang w:val="uk-UA"/>
              </w:rPr>
              <w:t>9279*</w:t>
            </w:r>
          </w:p>
        </w:tc>
        <w:tc>
          <w:tcPr>
            <w:tcW w:w="1884" w:type="dxa"/>
            <w:vAlign w:val="center"/>
            <w:hideMark/>
          </w:tcPr>
          <w:p w:rsidR="00CE46FF" w:rsidRPr="00777E72" w:rsidRDefault="00CE46FF" w:rsidP="007B5FC8">
            <w:pPr>
              <w:jc w:val="center"/>
              <w:rPr>
                <w:rFonts w:cs="Times New Roman"/>
                <w:sz w:val="22"/>
                <w:szCs w:val="22"/>
                <w:lang w:val="uk-UA"/>
              </w:rPr>
            </w:pPr>
            <w:r w:rsidRPr="00777E72">
              <w:rPr>
                <w:rFonts w:cs="Times New Roman"/>
                <w:sz w:val="22"/>
                <w:szCs w:val="22"/>
                <w:lang w:val="uk-UA"/>
              </w:rPr>
              <w:t>х</w:t>
            </w:r>
          </w:p>
        </w:tc>
      </w:tr>
      <w:tr w:rsidR="00CE46FF" w:rsidRPr="007B5FC8" w:rsidTr="00B77702">
        <w:trPr>
          <w:trHeight w:val="464"/>
          <w:jc w:val="center"/>
        </w:trPr>
        <w:tc>
          <w:tcPr>
            <w:tcW w:w="4609" w:type="dxa"/>
            <w:hideMark/>
          </w:tcPr>
          <w:p w:rsidR="00CE46FF" w:rsidRPr="00777E72" w:rsidRDefault="00CE46FF" w:rsidP="007B5FC8">
            <w:pPr>
              <w:jc w:val="both"/>
              <w:rPr>
                <w:rFonts w:cs="Times New Roman"/>
                <w:sz w:val="22"/>
                <w:szCs w:val="22"/>
              </w:rPr>
            </w:pPr>
            <w:r w:rsidRPr="00777E72">
              <w:rPr>
                <w:rFonts w:cs="Times New Roman"/>
                <w:sz w:val="22"/>
                <w:szCs w:val="22"/>
              </w:rPr>
              <w:t>Темп росту середньомісячної заробітної плати (у % до попереднього року)</w:t>
            </w:r>
          </w:p>
        </w:tc>
        <w:tc>
          <w:tcPr>
            <w:tcW w:w="1134" w:type="dxa"/>
            <w:vAlign w:val="center"/>
            <w:hideMark/>
          </w:tcPr>
          <w:p w:rsidR="00CE46FF" w:rsidRPr="00777E72" w:rsidRDefault="00CE46FF" w:rsidP="007B5FC8">
            <w:pPr>
              <w:jc w:val="center"/>
              <w:rPr>
                <w:rFonts w:cs="Times New Roman"/>
                <w:sz w:val="22"/>
                <w:szCs w:val="22"/>
              </w:rPr>
            </w:pPr>
            <w:r w:rsidRPr="00777E72">
              <w:rPr>
                <w:rFonts w:cs="Times New Roman"/>
                <w:sz w:val="22"/>
                <w:szCs w:val="22"/>
              </w:rPr>
              <w:t>%</w:t>
            </w:r>
          </w:p>
        </w:tc>
        <w:tc>
          <w:tcPr>
            <w:tcW w:w="1559" w:type="dxa"/>
            <w:vAlign w:val="center"/>
          </w:tcPr>
          <w:p w:rsidR="00CE46FF" w:rsidRPr="00777E72" w:rsidRDefault="00CE46FF" w:rsidP="0080506C">
            <w:pPr>
              <w:jc w:val="center"/>
              <w:rPr>
                <w:rFonts w:cs="Times New Roman"/>
                <w:sz w:val="22"/>
                <w:szCs w:val="22"/>
              </w:rPr>
            </w:pPr>
            <w:r w:rsidRPr="00777E72">
              <w:rPr>
                <w:rFonts w:cs="Times New Roman"/>
                <w:sz w:val="22"/>
                <w:szCs w:val="22"/>
              </w:rPr>
              <w:t>142,0</w:t>
            </w:r>
          </w:p>
        </w:tc>
        <w:tc>
          <w:tcPr>
            <w:tcW w:w="1418" w:type="dxa"/>
            <w:vAlign w:val="center"/>
          </w:tcPr>
          <w:p w:rsidR="00CE46FF" w:rsidRPr="00777E72" w:rsidRDefault="00CE46FF" w:rsidP="007B5FC8">
            <w:pPr>
              <w:jc w:val="center"/>
              <w:rPr>
                <w:rFonts w:cs="Times New Roman"/>
                <w:sz w:val="22"/>
                <w:szCs w:val="22"/>
                <w:lang w:val="uk-UA"/>
              </w:rPr>
            </w:pPr>
            <w:r w:rsidRPr="00777E72">
              <w:rPr>
                <w:rFonts w:cs="Times New Roman"/>
                <w:sz w:val="22"/>
                <w:szCs w:val="22"/>
                <w:lang w:val="uk-UA"/>
              </w:rPr>
              <w:t>123,9</w:t>
            </w:r>
          </w:p>
        </w:tc>
        <w:tc>
          <w:tcPr>
            <w:tcW w:w="1842" w:type="dxa"/>
            <w:vAlign w:val="center"/>
            <w:hideMark/>
          </w:tcPr>
          <w:p w:rsidR="00CE46FF" w:rsidRPr="00777E72" w:rsidRDefault="00CE46FF" w:rsidP="0080506C">
            <w:pPr>
              <w:jc w:val="center"/>
              <w:rPr>
                <w:sz w:val="22"/>
                <w:szCs w:val="22"/>
              </w:rPr>
            </w:pPr>
            <w:r w:rsidRPr="00777E72">
              <w:rPr>
                <w:sz w:val="22"/>
                <w:szCs w:val="22"/>
              </w:rPr>
              <w:t>114,0</w:t>
            </w:r>
          </w:p>
        </w:tc>
        <w:tc>
          <w:tcPr>
            <w:tcW w:w="1560" w:type="dxa"/>
            <w:vAlign w:val="center"/>
          </w:tcPr>
          <w:p w:rsidR="00CE46FF" w:rsidRPr="00777E72" w:rsidRDefault="00CE46FF" w:rsidP="007B5FC8">
            <w:pPr>
              <w:jc w:val="center"/>
              <w:rPr>
                <w:rFonts w:cs="Times New Roman"/>
                <w:sz w:val="22"/>
                <w:szCs w:val="22"/>
                <w:lang w:val="uk-UA"/>
              </w:rPr>
            </w:pPr>
            <w:r w:rsidRPr="00777E72">
              <w:rPr>
                <w:rFonts w:cs="Times New Roman"/>
                <w:sz w:val="22"/>
                <w:szCs w:val="22"/>
                <w:lang w:val="uk-UA"/>
              </w:rPr>
              <w:t>116,5</w:t>
            </w:r>
          </w:p>
        </w:tc>
        <w:tc>
          <w:tcPr>
            <w:tcW w:w="1884" w:type="dxa"/>
            <w:vAlign w:val="center"/>
            <w:hideMark/>
          </w:tcPr>
          <w:p w:rsidR="00CE46FF" w:rsidRPr="00777E72" w:rsidRDefault="00CE46FF" w:rsidP="007B5FC8">
            <w:pPr>
              <w:jc w:val="center"/>
              <w:rPr>
                <w:rFonts w:cs="Times New Roman"/>
                <w:sz w:val="22"/>
                <w:szCs w:val="22"/>
              </w:rPr>
            </w:pPr>
            <w:r w:rsidRPr="00777E72">
              <w:rPr>
                <w:rFonts w:cs="Times New Roman"/>
                <w:sz w:val="22"/>
                <w:szCs w:val="22"/>
              </w:rPr>
              <w:t>х</w:t>
            </w:r>
          </w:p>
        </w:tc>
      </w:tr>
      <w:tr w:rsidR="00CE46FF" w:rsidRPr="007B5FC8" w:rsidTr="00B77702">
        <w:trPr>
          <w:trHeight w:val="798"/>
          <w:jc w:val="center"/>
        </w:trPr>
        <w:tc>
          <w:tcPr>
            <w:tcW w:w="4609" w:type="dxa"/>
            <w:hideMark/>
          </w:tcPr>
          <w:p w:rsidR="00CE46FF" w:rsidRPr="00EA1D32" w:rsidRDefault="00CE46FF" w:rsidP="007B5FC8">
            <w:pPr>
              <w:jc w:val="both"/>
              <w:rPr>
                <w:rFonts w:cs="Times New Roman"/>
                <w:sz w:val="22"/>
                <w:szCs w:val="22"/>
              </w:rPr>
            </w:pPr>
            <w:r w:rsidRPr="00EA1D32">
              <w:rPr>
                <w:rFonts w:cs="Times New Roman"/>
                <w:sz w:val="22"/>
                <w:szCs w:val="22"/>
              </w:rPr>
              <w:t>Заборгованість із виплати заробітної плати (на 1 число місяця, наступного за звітним періодом</w:t>
            </w:r>
            <w:proofErr w:type="gramStart"/>
            <w:r w:rsidRPr="00EA1D32">
              <w:rPr>
                <w:rFonts w:cs="Times New Roman"/>
                <w:sz w:val="22"/>
                <w:szCs w:val="22"/>
              </w:rPr>
              <w:t>),  всього</w:t>
            </w:r>
            <w:proofErr w:type="gramEnd"/>
          </w:p>
        </w:tc>
        <w:tc>
          <w:tcPr>
            <w:tcW w:w="1134" w:type="dxa"/>
            <w:vAlign w:val="center"/>
            <w:hideMark/>
          </w:tcPr>
          <w:p w:rsidR="00CE46FF" w:rsidRPr="00EA1D32" w:rsidRDefault="00CE46FF" w:rsidP="007B5FC8">
            <w:pPr>
              <w:jc w:val="center"/>
              <w:rPr>
                <w:rFonts w:cs="Times New Roman"/>
                <w:sz w:val="22"/>
                <w:szCs w:val="22"/>
              </w:rPr>
            </w:pPr>
            <w:r w:rsidRPr="00EA1D32">
              <w:rPr>
                <w:rFonts w:cs="Times New Roman"/>
                <w:sz w:val="22"/>
                <w:szCs w:val="22"/>
              </w:rPr>
              <w:t>тис. грн.</w:t>
            </w:r>
          </w:p>
        </w:tc>
        <w:tc>
          <w:tcPr>
            <w:tcW w:w="1559" w:type="dxa"/>
            <w:vAlign w:val="center"/>
          </w:tcPr>
          <w:p w:rsidR="00CE46FF" w:rsidRPr="00EA1D32" w:rsidRDefault="00CE46FF" w:rsidP="0080506C">
            <w:pPr>
              <w:jc w:val="center"/>
              <w:rPr>
                <w:rFonts w:cs="Times New Roman"/>
                <w:sz w:val="22"/>
                <w:szCs w:val="22"/>
              </w:rPr>
            </w:pPr>
            <w:r w:rsidRPr="00EA1D32">
              <w:rPr>
                <w:rFonts w:cs="Times New Roman"/>
                <w:sz w:val="22"/>
                <w:szCs w:val="22"/>
              </w:rPr>
              <w:t>17 009,0</w:t>
            </w:r>
          </w:p>
        </w:tc>
        <w:tc>
          <w:tcPr>
            <w:tcW w:w="1418" w:type="dxa"/>
            <w:vAlign w:val="center"/>
          </w:tcPr>
          <w:p w:rsidR="00CE46FF" w:rsidRPr="00EA1D32" w:rsidRDefault="00CE46FF" w:rsidP="007B5FC8">
            <w:pPr>
              <w:jc w:val="center"/>
              <w:rPr>
                <w:rFonts w:cs="Times New Roman"/>
                <w:sz w:val="22"/>
                <w:szCs w:val="22"/>
                <w:lang w:val="uk-UA"/>
              </w:rPr>
            </w:pPr>
            <w:r w:rsidRPr="00EA1D32">
              <w:rPr>
                <w:rFonts w:cs="Times New Roman"/>
                <w:sz w:val="22"/>
                <w:szCs w:val="22"/>
                <w:lang w:val="uk-UA"/>
              </w:rPr>
              <w:t>16 073,5</w:t>
            </w:r>
          </w:p>
        </w:tc>
        <w:tc>
          <w:tcPr>
            <w:tcW w:w="1842" w:type="dxa"/>
            <w:vAlign w:val="center"/>
            <w:hideMark/>
          </w:tcPr>
          <w:p w:rsidR="00CE46FF" w:rsidRPr="00EA1D32" w:rsidRDefault="00CE46FF" w:rsidP="0080506C">
            <w:pPr>
              <w:jc w:val="center"/>
              <w:rPr>
                <w:sz w:val="22"/>
                <w:szCs w:val="22"/>
              </w:rPr>
            </w:pPr>
            <w:r w:rsidRPr="00EA1D32">
              <w:rPr>
                <w:sz w:val="22"/>
                <w:szCs w:val="22"/>
              </w:rPr>
              <w:t>12 732,5</w:t>
            </w:r>
          </w:p>
        </w:tc>
        <w:tc>
          <w:tcPr>
            <w:tcW w:w="1560" w:type="dxa"/>
            <w:vAlign w:val="center"/>
          </w:tcPr>
          <w:p w:rsidR="00CE46FF" w:rsidRPr="00EA1D32" w:rsidRDefault="00CE46FF" w:rsidP="007B5FC8">
            <w:pPr>
              <w:jc w:val="center"/>
              <w:rPr>
                <w:rFonts w:cs="Times New Roman"/>
                <w:sz w:val="22"/>
                <w:szCs w:val="22"/>
              </w:rPr>
            </w:pPr>
            <w:r w:rsidRPr="00EA1D32">
              <w:rPr>
                <w:sz w:val="22"/>
                <w:szCs w:val="22"/>
              </w:rPr>
              <w:t>27</w:t>
            </w:r>
            <w:r w:rsidRPr="00EA1D32">
              <w:rPr>
                <w:sz w:val="22"/>
                <w:szCs w:val="22"/>
                <w:lang w:val="uk-UA"/>
              </w:rPr>
              <w:t xml:space="preserve"> </w:t>
            </w:r>
            <w:r w:rsidRPr="00EA1D32">
              <w:rPr>
                <w:sz w:val="22"/>
                <w:szCs w:val="22"/>
              </w:rPr>
              <w:t>316,9</w:t>
            </w:r>
          </w:p>
        </w:tc>
        <w:tc>
          <w:tcPr>
            <w:tcW w:w="1884" w:type="dxa"/>
            <w:vAlign w:val="center"/>
            <w:hideMark/>
          </w:tcPr>
          <w:p w:rsidR="00CE46FF" w:rsidRPr="00EA1D32" w:rsidRDefault="00CE46FF" w:rsidP="007B5FC8">
            <w:pPr>
              <w:jc w:val="center"/>
              <w:rPr>
                <w:rFonts w:cs="Times New Roman"/>
                <w:sz w:val="22"/>
                <w:szCs w:val="22"/>
              </w:rPr>
            </w:pPr>
            <w:r w:rsidRPr="00EA1D32">
              <w:rPr>
                <w:rFonts w:cs="Times New Roman"/>
                <w:sz w:val="22"/>
                <w:szCs w:val="22"/>
                <w:lang w:val="uk-UA"/>
              </w:rPr>
              <w:t>214,5</w:t>
            </w:r>
            <w:r w:rsidRPr="00EA1D32">
              <w:rPr>
                <w:rFonts w:cs="Times New Roman"/>
                <w:sz w:val="22"/>
                <w:szCs w:val="22"/>
              </w:rPr>
              <w:t>%</w:t>
            </w:r>
          </w:p>
        </w:tc>
      </w:tr>
      <w:tr w:rsidR="00CE46FF" w:rsidRPr="007B5FC8" w:rsidTr="00EA1D32">
        <w:trPr>
          <w:trHeight w:val="838"/>
          <w:jc w:val="center"/>
        </w:trPr>
        <w:tc>
          <w:tcPr>
            <w:tcW w:w="4609" w:type="dxa"/>
            <w:hideMark/>
          </w:tcPr>
          <w:p w:rsidR="00CE46FF" w:rsidRPr="00EA1D32" w:rsidRDefault="00CE46FF" w:rsidP="007B5FC8">
            <w:pPr>
              <w:jc w:val="both"/>
              <w:rPr>
                <w:rFonts w:cs="Times New Roman"/>
                <w:sz w:val="22"/>
                <w:szCs w:val="22"/>
              </w:rPr>
            </w:pPr>
            <w:r w:rsidRPr="00EA1D32">
              <w:rPr>
                <w:rFonts w:cs="Times New Roman"/>
                <w:sz w:val="22"/>
                <w:szCs w:val="22"/>
              </w:rPr>
              <w:lastRenderedPageBreak/>
              <w:t xml:space="preserve">Темп зростання (зниження) заборгованості з виплати заробітної плати у відсотках </w:t>
            </w:r>
            <w:proofErr w:type="gramStart"/>
            <w:r w:rsidRPr="00EA1D32">
              <w:rPr>
                <w:rFonts w:cs="Times New Roman"/>
                <w:sz w:val="22"/>
                <w:szCs w:val="22"/>
              </w:rPr>
              <w:t>до початку</w:t>
            </w:r>
            <w:proofErr w:type="gramEnd"/>
            <w:r w:rsidRPr="00EA1D32">
              <w:rPr>
                <w:rFonts w:cs="Times New Roman"/>
                <w:sz w:val="22"/>
                <w:szCs w:val="22"/>
              </w:rPr>
              <w:t xml:space="preserve"> звітного року</w:t>
            </w:r>
          </w:p>
        </w:tc>
        <w:tc>
          <w:tcPr>
            <w:tcW w:w="1134" w:type="dxa"/>
            <w:vAlign w:val="center"/>
            <w:hideMark/>
          </w:tcPr>
          <w:p w:rsidR="00CE46FF" w:rsidRPr="00EA1D32" w:rsidRDefault="00CE46FF" w:rsidP="007B5FC8">
            <w:pPr>
              <w:jc w:val="center"/>
              <w:rPr>
                <w:rFonts w:cs="Times New Roman"/>
                <w:sz w:val="22"/>
                <w:szCs w:val="22"/>
              </w:rPr>
            </w:pPr>
            <w:r w:rsidRPr="00EA1D32">
              <w:rPr>
                <w:rFonts w:cs="Times New Roman"/>
                <w:sz w:val="22"/>
                <w:szCs w:val="22"/>
              </w:rPr>
              <w:t>%</w:t>
            </w:r>
          </w:p>
        </w:tc>
        <w:tc>
          <w:tcPr>
            <w:tcW w:w="1559" w:type="dxa"/>
            <w:vAlign w:val="center"/>
          </w:tcPr>
          <w:p w:rsidR="00CE46FF" w:rsidRPr="00EA1D32" w:rsidRDefault="00CE46FF" w:rsidP="0080506C">
            <w:pPr>
              <w:jc w:val="center"/>
              <w:rPr>
                <w:rFonts w:cs="Times New Roman"/>
                <w:sz w:val="22"/>
                <w:szCs w:val="22"/>
              </w:rPr>
            </w:pPr>
            <w:r w:rsidRPr="00EA1D32">
              <w:rPr>
                <w:rFonts w:cs="Times New Roman"/>
                <w:sz w:val="22"/>
                <w:szCs w:val="22"/>
              </w:rPr>
              <w:t>354,3</w:t>
            </w:r>
          </w:p>
        </w:tc>
        <w:tc>
          <w:tcPr>
            <w:tcW w:w="1418" w:type="dxa"/>
            <w:vAlign w:val="center"/>
          </w:tcPr>
          <w:p w:rsidR="00CE46FF" w:rsidRPr="00EA1D32" w:rsidRDefault="00CE46FF" w:rsidP="007B5FC8">
            <w:pPr>
              <w:jc w:val="center"/>
              <w:rPr>
                <w:rFonts w:cs="Times New Roman"/>
                <w:sz w:val="22"/>
                <w:szCs w:val="22"/>
                <w:lang w:val="uk-UA"/>
              </w:rPr>
            </w:pPr>
            <w:r w:rsidRPr="00EA1D32">
              <w:rPr>
                <w:rFonts w:cs="Times New Roman"/>
                <w:sz w:val="22"/>
                <w:szCs w:val="22"/>
                <w:lang w:val="uk-UA"/>
              </w:rPr>
              <w:t>94,5</w:t>
            </w:r>
          </w:p>
        </w:tc>
        <w:tc>
          <w:tcPr>
            <w:tcW w:w="1842" w:type="dxa"/>
            <w:vAlign w:val="center"/>
          </w:tcPr>
          <w:p w:rsidR="00CE46FF" w:rsidRPr="00EA1D32" w:rsidRDefault="00CE46FF" w:rsidP="007B5FC8">
            <w:pPr>
              <w:jc w:val="center"/>
              <w:rPr>
                <w:rFonts w:cs="Times New Roman"/>
                <w:sz w:val="22"/>
                <w:szCs w:val="22"/>
              </w:rPr>
            </w:pPr>
            <w:r w:rsidRPr="00EA1D32">
              <w:rPr>
                <w:sz w:val="22"/>
                <w:szCs w:val="22"/>
              </w:rPr>
              <w:t>79,3</w:t>
            </w:r>
          </w:p>
        </w:tc>
        <w:tc>
          <w:tcPr>
            <w:tcW w:w="1560" w:type="dxa"/>
            <w:vAlign w:val="center"/>
          </w:tcPr>
          <w:p w:rsidR="00CE46FF" w:rsidRPr="00EA1D32" w:rsidRDefault="00CE46FF" w:rsidP="007B5FC8">
            <w:pPr>
              <w:jc w:val="center"/>
              <w:rPr>
                <w:rFonts w:cs="Times New Roman"/>
                <w:sz w:val="22"/>
                <w:szCs w:val="22"/>
                <w:lang w:val="uk-UA"/>
              </w:rPr>
            </w:pPr>
            <w:r w:rsidRPr="00EA1D32">
              <w:rPr>
                <w:rFonts w:cs="Times New Roman"/>
                <w:sz w:val="22"/>
                <w:szCs w:val="22"/>
                <w:lang w:val="uk-UA"/>
              </w:rPr>
              <w:t>167,3</w:t>
            </w:r>
          </w:p>
        </w:tc>
        <w:tc>
          <w:tcPr>
            <w:tcW w:w="1884" w:type="dxa"/>
            <w:vAlign w:val="center"/>
            <w:hideMark/>
          </w:tcPr>
          <w:p w:rsidR="00CE46FF" w:rsidRPr="00EA1D32" w:rsidRDefault="00CE46FF" w:rsidP="007B5FC8">
            <w:pPr>
              <w:jc w:val="center"/>
              <w:rPr>
                <w:rFonts w:cs="Times New Roman"/>
                <w:sz w:val="22"/>
                <w:szCs w:val="22"/>
              </w:rPr>
            </w:pPr>
            <w:r w:rsidRPr="00EA1D32">
              <w:rPr>
                <w:rFonts w:cs="Times New Roman"/>
                <w:sz w:val="22"/>
                <w:szCs w:val="22"/>
              </w:rPr>
              <w:t>х</w:t>
            </w:r>
          </w:p>
        </w:tc>
      </w:tr>
      <w:tr w:rsidR="00CE46FF" w:rsidRPr="007B5FC8" w:rsidTr="00EA1D32">
        <w:trPr>
          <w:trHeight w:val="991"/>
          <w:jc w:val="center"/>
        </w:trPr>
        <w:tc>
          <w:tcPr>
            <w:tcW w:w="4609" w:type="dxa"/>
            <w:hideMark/>
          </w:tcPr>
          <w:p w:rsidR="00CE46FF" w:rsidRPr="00EA1D32" w:rsidRDefault="00CE46FF" w:rsidP="007B5FC8">
            <w:pPr>
              <w:jc w:val="both"/>
              <w:rPr>
                <w:rFonts w:cs="Times New Roman"/>
                <w:sz w:val="22"/>
                <w:szCs w:val="22"/>
              </w:rPr>
            </w:pPr>
            <w:r w:rsidRPr="00EA1D32">
              <w:rPr>
                <w:rFonts w:cs="Times New Roman"/>
                <w:sz w:val="22"/>
                <w:szCs w:val="22"/>
              </w:rPr>
              <w:t>Заборгованість з виплати заробітної плати економічно активних підприємств (на 1число місяця, наступного за звітним періодом</w:t>
            </w:r>
            <w:proofErr w:type="gramStart"/>
            <w:r w:rsidRPr="00EA1D32">
              <w:rPr>
                <w:rFonts w:cs="Times New Roman"/>
                <w:sz w:val="22"/>
                <w:szCs w:val="22"/>
              </w:rPr>
              <w:t>),  всього</w:t>
            </w:r>
            <w:proofErr w:type="gramEnd"/>
          </w:p>
        </w:tc>
        <w:tc>
          <w:tcPr>
            <w:tcW w:w="1134" w:type="dxa"/>
            <w:vAlign w:val="center"/>
            <w:hideMark/>
          </w:tcPr>
          <w:p w:rsidR="00CE46FF" w:rsidRPr="00EA1D32" w:rsidRDefault="00CE46FF" w:rsidP="007B5FC8">
            <w:pPr>
              <w:jc w:val="center"/>
              <w:rPr>
                <w:rFonts w:cs="Times New Roman"/>
                <w:sz w:val="22"/>
                <w:szCs w:val="22"/>
              </w:rPr>
            </w:pPr>
            <w:r w:rsidRPr="00EA1D32">
              <w:rPr>
                <w:rFonts w:cs="Times New Roman"/>
                <w:sz w:val="22"/>
                <w:szCs w:val="22"/>
              </w:rPr>
              <w:t>тис. грн.</w:t>
            </w:r>
          </w:p>
        </w:tc>
        <w:tc>
          <w:tcPr>
            <w:tcW w:w="1559" w:type="dxa"/>
            <w:vAlign w:val="center"/>
          </w:tcPr>
          <w:p w:rsidR="00CE46FF" w:rsidRPr="00EA1D32" w:rsidRDefault="00CE46FF" w:rsidP="0080506C">
            <w:pPr>
              <w:jc w:val="center"/>
              <w:rPr>
                <w:rFonts w:cs="Times New Roman"/>
                <w:sz w:val="22"/>
                <w:szCs w:val="22"/>
              </w:rPr>
            </w:pPr>
            <w:r w:rsidRPr="00EA1D32">
              <w:rPr>
                <w:rFonts w:cs="Times New Roman"/>
                <w:sz w:val="22"/>
                <w:szCs w:val="22"/>
              </w:rPr>
              <w:t>5 411,6</w:t>
            </w:r>
          </w:p>
        </w:tc>
        <w:tc>
          <w:tcPr>
            <w:tcW w:w="1418" w:type="dxa"/>
            <w:vAlign w:val="center"/>
          </w:tcPr>
          <w:p w:rsidR="00CE46FF" w:rsidRPr="00EA1D32" w:rsidRDefault="00CE46FF" w:rsidP="007B5FC8">
            <w:pPr>
              <w:jc w:val="center"/>
              <w:rPr>
                <w:rFonts w:cs="Times New Roman"/>
                <w:sz w:val="22"/>
                <w:szCs w:val="22"/>
                <w:lang w:val="uk-UA"/>
              </w:rPr>
            </w:pPr>
            <w:r w:rsidRPr="00EA1D32">
              <w:rPr>
                <w:rFonts w:cs="Times New Roman"/>
                <w:sz w:val="22"/>
                <w:szCs w:val="22"/>
                <w:lang w:val="uk-UA"/>
              </w:rPr>
              <w:t>2682,2</w:t>
            </w:r>
          </w:p>
        </w:tc>
        <w:tc>
          <w:tcPr>
            <w:tcW w:w="1842" w:type="dxa"/>
            <w:vAlign w:val="center"/>
          </w:tcPr>
          <w:p w:rsidR="00CE46FF" w:rsidRPr="00EA1D32" w:rsidRDefault="00CE46FF" w:rsidP="007B5FC8">
            <w:pPr>
              <w:jc w:val="center"/>
              <w:rPr>
                <w:rFonts w:cs="Times New Roman"/>
                <w:sz w:val="22"/>
                <w:szCs w:val="22"/>
                <w:lang w:val="uk-UA"/>
              </w:rPr>
            </w:pPr>
            <w:r w:rsidRPr="00EA1D32">
              <w:rPr>
                <w:rFonts w:cs="Times New Roman"/>
                <w:sz w:val="22"/>
                <w:szCs w:val="22"/>
                <w:lang w:val="uk-UA"/>
              </w:rPr>
              <w:t>0,0</w:t>
            </w:r>
          </w:p>
        </w:tc>
        <w:tc>
          <w:tcPr>
            <w:tcW w:w="1560" w:type="dxa"/>
            <w:vAlign w:val="center"/>
          </w:tcPr>
          <w:p w:rsidR="00CE46FF" w:rsidRPr="00EA1D32" w:rsidRDefault="00CE46FF" w:rsidP="007B5FC8">
            <w:pPr>
              <w:jc w:val="center"/>
              <w:rPr>
                <w:rFonts w:cs="Times New Roman"/>
                <w:sz w:val="22"/>
                <w:szCs w:val="22"/>
              </w:rPr>
            </w:pPr>
            <w:r w:rsidRPr="00EA1D32">
              <w:rPr>
                <w:sz w:val="22"/>
                <w:szCs w:val="22"/>
              </w:rPr>
              <w:t>8 245,7</w:t>
            </w:r>
          </w:p>
        </w:tc>
        <w:tc>
          <w:tcPr>
            <w:tcW w:w="1884" w:type="dxa"/>
            <w:vAlign w:val="center"/>
            <w:hideMark/>
          </w:tcPr>
          <w:p w:rsidR="00CE46FF" w:rsidRPr="00EA1D32" w:rsidRDefault="00CE46FF" w:rsidP="007B5FC8">
            <w:pPr>
              <w:jc w:val="center"/>
              <w:rPr>
                <w:rFonts w:cs="Times New Roman"/>
                <w:sz w:val="22"/>
                <w:szCs w:val="22"/>
              </w:rPr>
            </w:pPr>
            <w:r w:rsidRPr="00EA1D32">
              <w:rPr>
                <w:rFonts w:cs="Times New Roman"/>
                <w:sz w:val="22"/>
                <w:szCs w:val="22"/>
              </w:rPr>
              <w:t>х</w:t>
            </w:r>
          </w:p>
        </w:tc>
      </w:tr>
      <w:tr w:rsidR="00CE46FF" w:rsidRPr="007B5FC8" w:rsidTr="00EA1D32">
        <w:trPr>
          <w:trHeight w:val="964"/>
          <w:jc w:val="center"/>
        </w:trPr>
        <w:tc>
          <w:tcPr>
            <w:tcW w:w="4609" w:type="dxa"/>
            <w:hideMark/>
          </w:tcPr>
          <w:p w:rsidR="00CE46FF" w:rsidRPr="00447F21" w:rsidRDefault="00CE46FF" w:rsidP="007B5FC8">
            <w:pPr>
              <w:jc w:val="both"/>
              <w:rPr>
                <w:rFonts w:cs="Times New Roman"/>
                <w:sz w:val="22"/>
                <w:szCs w:val="22"/>
              </w:rPr>
            </w:pPr>
            <w:r w:rsidRPr="00447F21">
              <w:rPr>
                <w:rFonts w:cs="Times New Roman"/>
                <w:sz w:val="22"/>
                <w:szCs w:val="22"/>
              </w:rPr>
              <w:t xml:space="preserve">Темп зростання (зниження) заборгованості з виплати заробітної плати на економічно активних </w:t>
            </w:r>
            <w:proofErr w:type="gramStart"/>
            <w:r w:rsidRPr="00447F21">
              <w:rPr>
                <w:rFonts w:cs="Times New Roman"/>
                <w:sz w:val="22"/>
                <w:szCs w:val="22"/>
              </w:rPr>
              <w:t>підприємствах  у</w:t>
            </w:r>
            <w:proofErr w:type="gramEnd"/>
            <w:r w:rsidRPr="00447F21">
              <w:rPr>
                <w:rFonts w:cs="Times New Roman"/>
                <w:sz w:val="22"/>
                <w:szCs w:val="22"/>
              </w:rPr>
              <w:t xml:space="preserve"> відсотках до початку звітного року</w:t>
            </w:r>
          </w:p>
        </w:tc>
        <w:tc>
          <w:tcPr>
            <w:tcW w:w="1134" w:type="dxa"/>
            <w:vAlign w:val="center"/>
            <w:hideMark/>
          </w:tcPr>
          <w:p w:rsidR="00CE46FF" w:rsidRPr="00447F21" w:rsidRDefault="00CE46FF" w:rsidP="007B5FC8">
            <w:pPr>
              <w:jc w:val="center"/>
              <w:rPr>
                <w:rFonts w:cs="Times New Roman"/>
                <w:sz w:val="22"/>
                <w:szCs w:val="22"/>
              </w:rPr>
            </w:pPr>
            <w:r w:rsidRPr="00447F21">
              <w:rPr>
                <w:rFonts w:cs="Times New Roman"/>
                <w:sz w:val="22"/>
                <w:szCs w:val="22"/>
              </w:rPr>
              <w:t>%</w:t>
            </w:r>
          </w:p>
        </w:tc>
        <w:tc>
          <w:tcPr>
            <w:tcW w:w="1559" w:type="dxa"/>
            <w:vAlign w:val="center"/>
          </w:tcPr>
          <w:p w:rsidR="00CE46FF" w:rsidRPr="00447F21" w:rsidRDefault="00CE46FF" w:rsidP="0080506C">
            <w:pPr>
              <w:jc w:val="center"/>
              <w:rPr>
                <w:rFonts w:cs="Times New Roman"/>
                <w:sz w:val="22"/>
                <w:szCs w:val="22"/>
                <w:lang w:val="uk-UA"/>
              </w:rPr>
            </w:pPr>
            <w:r w:rsidRPr="00447F21">
              <w:rPr>
                <w:rFonts w:cs="Times New Roman"/>
                <w:sz w:val="22"/>
                <w:szCs w:val="22"/>
                <w:lang w:val="uk-UA"/>
              </w:rPr>
              <w:t>х</w:t>
            </w:r>
          </w:p>
        </w:tc>
        <w:tc>
          <w:tcPr>
            <w:tcW w:w="1418" w:type="dxa"/>
            <w:vAlign w:val="center"/>
          </w:tcPr>
          <w:p w:rsidR="00CE46FF" w:rsidRPr="00447F21" w:rsidRDefault="00CE46FF" w:rsidP="007B5FC8">
            <w:pPr>
              <w:jc w:val="center"/>
              <w:rPr>
                <w:rFonts w:cs="Times New Roman"/>
                <w:sz w:val="22"/>
                <w:szCs w:val="22"/>
                <w:lang w:val="uk-UA"/>
              </w:rPr>
            </w:pPr>
            <w:r w:rsidRPr="00447F21">
              <w:rPr>
                <w:rFonts w:cs="Times New Roman"/>
                <w:sz w:val="22"/>
                <w:szCs w:val="22"/>
                <w:lang w:val="uk-UA"/>
              </w:rPr>
              <w:t>49,6</w:t>
            </w:r>
          </w:p>
        </w:tc>
        <w:tc>
          <w:tcPr>
            <w:tcW w:w="1842" w:type="dxa"/>
            <w:vAlign w:val="center"/>
            <w:hideMark/>
          </w:tcPr>
          <w:p w:rsidR="00CE46FF" w:rsidRPr="00447F21" w:rsidRDefault="00CE46FF" w:rsidP="007B5FC8">
            <w:pPr>
              <w:jc w:val="center"/>
              <w:rPr>
                <w:rFonts w:cs="Times New Roman"/>
                <w:sz w:val="22"/>
                <w:szCs w:val="22"/>
                <w:lang w:val="uk-UA"/>
              </w:rPr>
            </w:pPr>
            <w:r w:rsidRPr="00447F21">
              <w:rPr>
                <w:rFonts w:cs="Times New Roman"/>
                <w:sz w:val="22"/>
                <w:szCs w:val="22"/>
                <w:lang w:val="uk-UA"/>
              </w:rPr>
              <w:t>х</w:t>
            </w:r>
          </w:p>
        </w:tc>
        <w:tc>
          <w:tcPr>
            <w:tcW w:w="1560" w:type="dxa"/>
            <w:vAlign w:val="center"/>
            <w:hideMark/>
          </w:tcPr>
          <w:p w:rsidR="00CE46FF" w:rsidRPr="00447F21" w:rsidRDefault="00CE46FF" w:rsidP="007B5FC8">
            <w:pPr>
              <w:jc w:val="center"/>
              <w:rPr>
                <w:rFonts w:cs="Times New Roman"/>
                <w:sz w:val="22"/>
                <w:szCs w:val="22"/>
                <w:lang w:val="uk-UA"/>
              </w:rPr>
            </w:pPr>
            <w:r w:rsidRPr="00447F21">
              <w:rPr>
                <w:rFonts w:cs="Times New Roman"/>
                <w:sz w:val="22"/>
                <w:szCs w:val="22"/>
                <w:lang w:val="uk-UA"/>
              </w:rPr>
              <w:t>х</w:t>
            </w:r>
          </w:p>
        </w:tc>
        <w:tc>
          <w:tcPr>
            <w:tcW w:w="1884" w:type="dxa"/>
            <w:vAlign w:val="center"/>
            <w:hideMark/>
          </w:tcPr>
          <w:p w:rsidR="00CE46FF" w:rsidRPr="00EC573E" w:rsidRDefault="00CE46FF" w:rsidP="007B5FC8">
            <w:pPr>
              <w:jc w:val="center"/>
              <w:rPr>
                <w:rFonts w:cs="Times New Roman"/>
                <w:sz w:val="22"/>
                <w:szCs w:val="22"/>
              </w:rPr>
            </w:pPr>
            <w:r w:rsidRPr="00EC573E">
              <w:rPr>
                <w:rFonts w:cs="Times New Roman"/>
                <w:sz w:val="22"/>
                <w:szCs w:val="22"/>
              </w:rPr>
              <w:t>х</w:t>
            </w:r>
          </w:p>
        </w:tc>
      </w:tr>
      <w:tr w:rsidR="00CE46FF" w:rsidRPr="007B5FC8" w:rsidTr="005C691E">
        <w:trPr>
          <w:trHeight w:val="497"/>
          <w:jc w:val="center"/>
        </w:trPr>
        <w:tc>
          <w:tcPr>
            <w:tcW w:w="4609" w:type="dxa"/>
            <w:hideMark/>
          </w:tcPr>
          <w:p w:rsidR="00CE46FF" w:rsidRPr="005C691E" w:rsidRDefault="00CE46FF" w:rsidP="007B5FC8">
            <w:pPr>
              <w:jc w:val="both"/>
              <w:rPr>
                <w:rFonts w:cs="Times New Roman"/>
                <w:sz w:val="22"/>
                <w:szCs w:val="22"/>
              </w:rPr>
            </w:pPr>
            <w:r w:rsidRPr="005C691E">
              <w:rPr>
                <w:rFonts w:cs="Times New Roman"/>
                <w:sz w:val="22"/>
                <w:szCs w:val="22"/>
              </w:rPr>
              <w:t>Середній розмір пенсійних виплат (на кінець звітного періоду)</w:t>
            </w:r>
          </w:p>
        </w:tc>
        <w:tc>
          <w:tcPr>
            <w:tcW w:w="1134" w:type="dxa"/>
            <w:noWrap/>
            <w:vAlign w:val="center"/>
            <w:hideMark/>
          </w:tcPr>
          <w:p w:rsidR="00CE46FF" w:rsidRPr="005C691E" w:rsidRDefault="00CE46FF" w:rsidP="007B5FC8">
            <w:pPr>
              <w:jc w:val="center"/>
              <w:rPr>
                <w:rFonts w:cs="Times New Roman"/>
                <w:sz w:val="22"/>
                <w:szCs w:val="22"/>
              </w:rPr>
            </w:pPr>
            <w:r w:rsidRPr="005C691E">
              <w:rPr>
                <w:rFonts w:cs="Times New Roman"/>
                <w:sz w:val="22"/>
                <w:szCs w:val="22"/>
              </w:rPr>
              <w:t>грн.</w:t>
            </w:r>
          </w:p>
        </w:tc>
        <w:tc>
          <w:tcPr>
            <w:tcW w:w="1559" w:type="dxa"/>
            <w:noWrap/>
            <w:vAlign w:val="center"/>
          </w:tcPr>
          <w:p w:rsidR="00CE46FF" w:rsidRPr="005C691E" w:rsidRDefault="00CE46FF" w:rsidP="0080506C">
            <w:pPr>
              <w:jc w:val="center"/>
              <w:rPr>
                <w:rFonts w:cs="Times New Roman"/>
                <w:sz w:val="22"/>
                <w:szCs w:val="22"/>
              </w:rPr>
            </w:pPr>
            <w:r w:rsidRPr="005C691E">
              <w:rPr>
                <w:rFonts w:cs="Times New Roman"/>
                <w:sz w:val="22"/>
                <w:szCs w:val="22"/>
              </w:rPr>
              <w:t>2 384,8</w:t>
            </w:r>
          </w:p>
        </w:tc>
        <w:tc>
          <w:tcPr>
            <w:tcW w:w="1418" w:type="dxa"/>
            <w:noWrap/>
            <w:vAlign w:val="center"/>
          </w:tcPr>
          <w:p w:rsidR="00CE46FF" w:rsidRPr="005C691E" w:rsidRDefault="00CE46FF" w:rsidP="007B5FC8">
            <w:pPr>
              <w:jc w:val="center"/>
              <w:rPr>
                <w:rFonts w:cs="Times New Roman"/>
                <w:sz w:val="22"/>
                <w:szCs w:val="22"/>
                <w:lang w:val="uk-UA"/>
              </w:rPr>
            </w:pPr>
            <w:r w:rsidRPr="005C691E">
              <w:rPr>
                <w:rFonts w:cs="Times New Roman"/>
                <w:sz w:val="22"/>
                <w:szCs w:val="22"/>
                <w:lang w:val="uk-UA"/>
              </w:rPr>
              <w:t>2467,7</w:t>
            </w:r>
          </w:p>
        </w:tc>
        <w:tc>
          <w:tcPr>
            <w:tcW w:w="1842" w:type="dxa"/>
            <w:noWrap/>
            <w:vAlign w:val="center"/>
            <w:hideMark/>
          </w:tcPr>
          <w:p w:rsidR="00CE46FF" w:rsidRPr="00FC3CA5" w:rsidRDefault="00CE46FF" w:rsidP="0080506C">
            <w:pPr>
              <w:jc w:val="center"/>
              <w:rPr>
                <w:sz w:val="22"/>
                <w:szCs w:val="22"/>
              </w:rPr>
            </w:pPr>
            <w:r w:rsidRPr="00FC3CA5">
              <w:rPr>
                <w:sz w:val="22"/>
                <w:szCs w:val="22"/>
              </w:rPr>
              <w:t>2 739,0</w:t>
            </w:r>
          </w:p>
        </w:tc>
        <w:tc>
          <w:tcPr>
            <w:tcW w:w="1560" w:type="dxa"/>
            <w:noWrap/>
            <w:vAlign w:val="center"/>
          </w:tcPr>
          <w:p w:rsidR="00CE46FF" w:rsidRPr="00EC573E" w:rsidRDefault="00CE46FF" w:rsidP="007B5FC8">
            <w:pPr>
              <w:jc w:val="center"/>
              <w:rPr>
                <w:rFonts w:cs="Times New Roman"/>
                <w:sz w:val="22"/>
                <w:szCs w:val="22"/>
                <w:lang w:val="uk-UA"/>
              </w:rPr>
            </w:pPr>
            <w:r>
              <w:rPr>
                <w:rFonts w:cs="Times New Roman"/>
                <w:sz w:val="22"/>
                <w:szCs w:val="22"/>
                <w:lang w:val="uk-UA"/>
              </w:rPr>
              <w:t>2 881,0</w:t>
            </w:r>
          </w:p>
        </w:tc>
        <w:tc>
          <w:tcPr>
            <w:tcW w:w="1884" w:type="dxa"/>
            <w:noWrap/>
            <w:vAlign w:val="center"/>
          </w:tcPr>
          <w:p w:rsidR="00CE46FF" w:rsidRPr="00EC573E" w:rsidRDefault="00CE46FF" w:rsidP="007B5FC8">
            <w:pPr>
              <w:jc w:val="center"/>
              <w:rPr>
                <w:rFonts w:cs="Times New Roman"/>
                <w:sz w:val="22"/>
                <w:szCs w:val="22"/>
                <w:lang w:val="uk-UA"/>
              </w:rPr>
            </w:pPr>
            <w:r w:rsidRPr="00EC573E">
              <w:rPr>
                <w:rFonts w:cs="Times New Roman"/>
                <w:sz w:val="22"/>
                <w:szCs w:val="22"/>
                <w:lang w:val="uk-UA"/>
              </w:rPr>
              <w:t>116,8%</w:t>
            </w:r>
          </w:p>
        </w:tc>
      </w:tr>
      <w:tr w:rsidR="00CE46FF" w:rsidRPr="007B5FC8" w:rsidTr="005C691E">
        <w:trPr>
          <w:trHeight w:val="547"/>
          <w:jc w:val="center"/>
        </w:trPr>
        <w:tc>
          <w:tcPr>
            <w:tcW w:w="4609" w:type="dxa"/>
            <w:hideMark/>
          </w:tcPr>
          <w:p w:rsidR="00CE46FF" w:rsidRPr="005C691E" w:rsidRDefault="00CE46FF" w:rsidP="007B5FC8">
            <w:pPr>
              <w:jc w:val="both"/>
              <w:rPr>
                <w:rFonts w:cs="Times New Roman"/>
                <w:sz w:val="22"/>
                <w:szCs w:val="22"/>
                <w:lang w:val="uk-UA"/>
              </w:rPr>
            </w:pPr>
            <w:r w:rsidRPr="005C691E">
              <w:rPr>
                <w:rFonts w:cs="Times New Roman"/>
                <w:sz w:val="22"/>
                <w:szCs w:val="22"/>
                <w:lang w:val="uk-UA"/>
              </w:rPr>
              <w:t>Кількість осіб, застрахованих в системі ЗОДСС (на кінець звітного періоду)</w:t>
            </w:r>
          </w:p>
        </w:tc>
        <w:tc>
          <w:tcPr>
            <w:tcW w:w="1134" w:type="dxa"/>
            <w:noWrap/>
            <w:vAlign w:val="center"/>
            <w:hideMark/>
          </w:tcPr>
          <w:p w:rsidR="00CE46FF" w:rsidRPr="005C691E" w:rsidRDefault="00CE46FF" w:rsidP="007B5FC8">
            <w:pPr>
              <w:jc w:val="center"/>
              <w:rPr>
                <w:rFonts w:cs="Times New Roman"/>
                <w:sz w:val="22"/>
                <w:szCs w:val="22"/>
              </w:rPr>
            </w:pPr>
            <w:r w:rsidRPr="005C691E">
              <w:rPr>
                <w:rFonts w:cs="Times New Roman"/>
                <w:sz w:val="22"/>
                <w:szCs w:val="22"/>
              </w:rPr>
              <w:t>тис.осіб</w:t>
            </w:r>
          </w:p>
        </w:tc>
        <w:tc>
          <w:tcPr>
            <w:tcW w:w="1559" w:type="dxa"/>
            <w:noWrap/>
            <w:vAlign w:val="center"/>
          </w:tcPr>
          <w:p w:rsidR="00CE46FF" w:rsidRPr="005C691E" w:rsidRDefault="00CE46FF" w:rsidP="0080506C">
            <w:pPr>
              <w:jc w:val="center"/>
              <w:rPr>
                <w:rFonts w:cs="Times New Roman"/>
                <w:sz w:val="22"/>
                <w:szCs w:val="22"/>
              </w:rPr>
            </w:pPr>
            <w:r w:rsidRPr="005C691E">
              <w:rPr>
                <w:rFonts w:cs="Times New Roman"/>
                <w:sz w:val="22"/>
                <w:szCs w:val="22"/>
              </w:rPr>
              <w:t>93,9</w:t>
            </w:r>
          </w:p>
        </w:tc>
        <w:tc>
          <w:tcPr>
            <w:tcW w:w="1418" w:type="dxa"/>
            <w:noWrap/>
            <w:vAlign w:val="center"/>
          </w:tcPr>
          <w:p w:rsidR="00CE46FF" w:rsidRPr="005C691E" w:rsidRDefault="00CE46FF" w:rsidP="007B5FC8">
            <w:pPr>
              <w:jc w:val="center"/>
              <w:rPr>
                <w:rFonts w:cs="Times New Roman"/>
                <w:sz w:val="22"/>
                <w:szCs w:val="22"/>
                <w:lang w:val="uk-UA"/>
              </w:rPr>
            </w:pPr>
            <w:r w:rsidRPr="005C691E">
              <w:rPr>
                <w:rFonts w:cs="Times New Roman"/>
                <w:sz w:val="22"/>
                <w:szCs w:val="22"/>
                <w:lang w:val="uk-UA"/>
              </w:rPr>
              <w:t>121,0</w:t>
            </w:r>
          </w:p>
        </w:tc>
        <w:tc>
          <w:tcPr>
            <w:tcW w:w="1842" w:type="dxa"/>
            <w:noWrap/>
            <w:vAlign w:val="center"/>
            <w:hideMark/>
          </w:tcPr>
          <w:p w:rsidR="00CE46FF" w:rsidRPr="00FC3CA5" w:rsidRDefault="00CE46FF" w:rsidP="0080506C">
            <w:pPr>
              <w:jc w:val="center"/>
              <w:rPr>
                <w:sz w:val="22"/>
                <w:szCs w:val="22"/>
              </w:rPr>
            </w:pPr>
            <w:r w:rsidRPr="00FC3CA5">
              <w:rPr>
                <w:sz w:val="22"/>
                <w:szCs w:val="22"/>
              </w:rPr>
              <w:t>94,2</w:t>
            </w:r>
          </w:p>
        </w:tc>
        <w:tc>
          <w:tcPr>
            <w:tcW w:w="1560" w:type="dxa"/>
            <w:noWrap/>
            <w:vAlign w:val="center"/>
          </w:tcPr>
          <w:p w:rsidR="00CE46FF" w:rsidRPr="00EC573E" w:rsidRDefault="00CE46FF" w:rsidP="00EC573E">
            <w:pPr>
              <w:jc w:val="center"/>
              <w:rPr>
                <w:rFonts w:cs="Times New Roman"/>
                <w:sz w:val="22"/>
                <w:szCs w:val="22"/>
                <w:lang w:val="uk-UA"/>
              </w:rPr>
            </w:pPr>
            <w:r>
              <w:rPr>
                <w:rFonts w:cs="Times New Roman"/>
                <w:sz w:val="22"/>
                <w:szCs w:val="22"/>
                <w:lang w:val="uk-UA"/>
              </w:rPr>
              <w:t xml:space="preserve">121,3 </w:t>
            </w:r>
          </w:p>
        </w:tc>
        <w:tc>
          <w:tcPr>
            <w:tcW w:w="1884" w:type="dxa"/>
            <w:noWrap/>
            <w:vAlign w:val="center"/>
          </w:tcPr>
          <w:p w:rsidR="00CE46FF" w:rsidRPr="00EC573E" w:rsidRDefault="00CE46FF" w:rsidP="007B5FC8">
            <w:pPr>
              <w:jc w:val="center"/>
              <w:rPr>
                <w:rFonts w:cs="Times New Roman"/>
                <w:sz w:val="22"/>
                <w:szCs w:val="22"/>
                <w:lang w:val="uk-UA"/>
              </w:rPr>
            </w:pPr>
            <w:r w:rsidRPr="00EC573E">
              <w:rPr>
                <w:rFonts w:cs="Times New Roman"/>
                <w:sz w:val="22"/>
                <w:szCs w:val="22"/>
                <w:lang w:val="uk-UA"/>
              </w:rPr>
              <w:t>100,2%</w:t>
            </w:r>
          </w:p>
        </w:tc>
      </w:tr>
      <w:tr w:rsidR="00CE46FF" w:rsidRPr="007B5FC8" w:rsidTr="005C691E">
        <w:trPr>
          <w:trHeight w:val="427"/>
          <w:jc w:val="center"/>
        </w:trPr>
        <w:tc>
          <w:tcPr>
            <w:tcW w:w="4609" w:type="dxa"/>
            <w:hideMark/>
          </w:tcPr>
          <w:p w:rsidR="00CE46FF" w:rsidRPr="005C691E" w:rsidRDefault="00CE46FF" w:rsidP="007B5FC8">
            <w:pPr>
              <w:jc w:val="both"/>
              <w:rPr>
                <w:rFonts w:cs="Times New Roman"/>
                <w:sz w:val="22"/>
                <w:szCs w:val="22"/>
              </w:rPr>
            </w:pPr>
            <w:r w:rsidRPr="005C691E">
              <w:rPr>
                <w:rFonts w:cs="Times New Roman"/>
                <w:sz w:val="22"/>
                <w:szCs w:val="22"/>
              </w:rPr>
              <w:t>Темп росту кількості застрахованих осіб (</w:t>
            </w:r>
            <w:proofErr w:type="gramStart"/>
            <w:r w:rsidRPr="005C691E">
              <w:rPr>
                <w:rFonts w:cs="Times New Roman"/>
                <w:sz w:val="22"/>
                <w:szCs w:val="22"/>
              </w:rPr>
              <w:t>до початку</w:t>
            </w:r>
            <w:proofErr w:type="gramEnd"/>
            <w:r w:rsidRPr="005C691E">
              <w:rPr>
                <w:rFonts w:cs="Times New Roman"/>
                <w:sz w:val="22"/>
                <w:szCs w:val="22"/>
              </w:rPr>
              <w:t xml:space="preserve"> року)</w:t>
            </w:r>
          </w:p>
        </w:tc>
        <w:tc>
          <w:tcPr>
            <w:tcW w:w="1134" w:type="dxa"/>
            <w:noWrap/>
            <w:vAlign w:val="center"/>
            <w:hideMark/>
          </w:tcPr>
          <w:p w:rsidR="00CE46FF" w:rsidRPr="005C691E" w:rsidRDefault="00CE46FF" w:rsidP="007B5FC8">
            <w:pPr>
              <w:jc w:val="center"/>
              <w:rPr>
                <w:rFonts w:cs="Times New Roman"/>
                <w:sz w:val="22"/>
                <w:szCs w:val="22"/>
              </w:rPr>
            </w:pPr>
            <w:r w:rsidRPr="005C691E">
              <w:rPr>
                <w:rFonts w:cs="Times New Roman"/>
                <w:sz w:val="22"/>
                <w:szCs w:val="22"/>
              </w:rPr>
              <w:t>%</w:t>
            </w:r>
          </w:p>
        </w:tc>
        <w:tc>
          <w:tcPr>
            <w:tcW w:w="1559" w:type="dxa"/>
            <w:vAlign w:val="center"/>
            <w:hideMark/>
          </w:tcPr>
          <w:p w:rsidR="00CE46FF" w:rsidRPr="005C691E" w:rsidRDefault="00CE46FF" w:rsidP="0080506C">
            <w:pPr>
              <w:jc w:val="center"/>
              <w:rPr>
                <w:rFonts w:cs="Times New Roman"/>
                <w:sz w:val="22"/>
                <w:szCs w:val="22"/>
              </w:rPr>
            </w:pPr>
            <w:r w:rsidRPr="005C691E">
              <w:rPr>
                <w:rFonts w:cs="Times New Roman"/>
                <w:sz w:val="22"/>
                <w:szCs w:val="22"/>
              </w:rPr>
              <w:t>79,2</w:t>
            </w:r>
          </w:p>
        </w:tc>
        <w:tc>
          <w:tcPr>
            <w:tcW w:w="1418" w:type="dxa"/>
            <w:noWrap/>
            <w:vAlign w:val="center"/>
          </w:tcPr>
          <w:p w:rsidR="00CE46FF" w:rsidRPr="005C691E" w:rsidRDefault="00CE46FF" w:rsidP="007B5FC8">
            <w:pPr>
              <w:jc w:val="center"/>
              <w:rPr>
                <w:rFonts w:cs="Times New Roman"/>
                <w:sz w:val="22"/>
                <w:szCs w:val="22"/>
                <w:lang w:val="uk-UA"/>
              </w:rPr>
            </w:pPr>
            <w:r w:rsidRPr="005C691E">
              <w:rPr>
                <w:rFonts w:cs="Times New Roman"/>
                <w:sz w:val="22"/>
                <w:szCs w:val="22"/>
                <w:lang w:val="uk-UA"/>
              </w:rPr>
              <w:t>128,8</w:t>
            </w:r>
          </w:p>
        </w:tc>
        <w:tc>
          <w:tcPr>
            <w:tcW w:w="1842" w:type="dxa"/>
            <w:noWrap/>
            <w:vAlign w:val="center"/>
            <w:hideMark/>
          </w:tcPr>
          <w:p w:rsidR="00CE46FF" w:rsidRPr="00FC3CA5" w:rsidRDefault="00CE46FF" w:rsidP="0080506C">
            <w:pPr>
              <w:jc w:val="center"/>
              <w:rPr>
                <w:sz w:val="22"/>
                <w:szCs w:val="22"/>
              </w:rPr>
            </w:pPr>
            <w:r w:rsidRPr="00FC3CA5">
              <w:rPr>
                <w:sz w:val="22"/>
                <w:szCs w:val="22"/>
              </w:rPr>
              <w:t>100,2%</w:t>
            </w:r>
          </w:p>
        </w:tc>
        <w:tc>
          <w:tcPr>
            <w:tcW w:w="1560" w:type="dxa"/>
            <w:noWrap/>
            <w:vAlign w:val="center"/>
          </w:tcPr>
          <w:p w:rsidR="00CE46FF" w:rsidRPr="00EC573E" w:rsidRDefault="00CE46FF" w:rsidP="007B5FC8">
            <w:pPr>
              <w:jc w:val="center"/>
              <w:rPr>
                <w:rFonts w:cs="Times New Roman"/>
                <w:sz w:val="22"/>
                <w:szCs w:val="22"/>
                <w:lang w:val="uk-UA"/>
              </w:rPr>
            </w:pPr>
            <w:r>
              <w:rPr>
                <w:rFonts w:cs="Times New Roman"/>
                <w:sz w:val="22"/>
                <w:szCs w:val="22"/>
                <w:lang w:val="uk-UA"/>
              </w:rPr>
              <w:t>100,3%</w:t>
            </w:r>
          </w:p>
        </w:tc>
        <w:tc>
          <w:tcPr>
            <w:tcW w:w="1884" w:type="dxa"/>
            <w:noWrap/>
            <w:vAlign w:val="center"/>
          </w:tcPr>
          <w:p w:rsidR="00CE46FF" w:rsidRPr="00EC573E" w:rsidRDefault="00CE46FF" w:rsidP="007B5FC8">
            <w:pPr>
              <w:jc w:val="center"/>
              <w:rPr>
                <w:rFonts w:cs="Times New Roman"/>
                <w:sz w:val="22"/>
                <w:szCs w:val="22"/>
                <w:lang w:val="uk-UA"/>
              </w:rPr>
            </w:pPr>
            <w:r w:rsidRPr="00EC573E">
              <w:rPr>
                <w:rFonts w:cs="Times New Roman"/>
                <w:sz w:val="22"/>
                <w:szCs w:val="22"/>
                <w:lang w:val="uk-UA"/>
              </w:rPr>
              <w:t>х</w:t>
            </w:r>
          </w:p>
        </w:tc>
      </w:tr>
      <w:tr w:rsidR="00CE46FF" w:rsidRPr="00447F21" w:rsidTr="00B07213">
        <w:trPr>
          <w:trHeight w:val="335"/>
          <w:jc w:val="center"/>
        </w:trPr>
        <w:tc>
          <w:tcPr>
            <w:tcW w:w="14006" w:type="dxa"/>
            <w:gridSpan w:val="7"/>
            <w:vAlign w:val="center"/>
            <w:hideMark/>
          </w:tcPr>
          <w:p w:rsidR="00CE46FF" w:rsidRPr="00447F21" w:rsidRDefault="00CE46FF" w:rsidP="007B5FC8">
            <w:pPr>
              <w:jc w:val="center"/>
              <w:rPr>
                <w:rFonts w:cs="Times New Roman"/>
                <w:sz w:val="22"/>
                <w:szCs w:val="22"/>
              </w:rPr>
            </w:pPr>
            <w:r w:rsidRPr="00447F21">
              <w:rPr>
                <w:rFonts w:cs="Times New Roman"/>
                <w:sz w:val="22"/>
                <w:szCs w:val="22"/>
                <w:u w:val="single"/>
              </w:rPr>
              <w:t>ОСВІТА</w:t>
            </w:r>
          </w:p>
        </w:tc>
      </w:tr>
      <w:tr w:rsidR="00CE46FF" w:rsidRPr="007B5FC8" w:rsidTr="00447F21">
        <w:trPr>
          <w:trHeight w:val="668"/>
          <w:jc w:val="center"/>
        </w:trPr>
        <w:tc>
          <w:tcPr>
            <w:tcW w:w="4609" w:type="dxa"/>
            <w:hideMark/>
          </w:tcPr>
          <w:p w:rsidR="00CE46FF" w:rsidRPr="00447F21" w:rsidRDefault="00CE46FF" w:rsidP="007B5FC8">
            <w:pPr>
              <w:jc w:val="both"/>
              <w:rPr>
                <w:rFonts w:cs="Times New Roman"/>
                <w:sz w:val="22"/>
                <w:szCs w:val="22"/>
              </w:rPr>
            </w:pPr>
            <w:r w:rsidRPr="00447F21">
              <w:rPr>
                <w:rFonts w:cs="Times New Roman"/>
                <w:sz w:val="22"/>
                <w:szCs w:val="22"/>
              </w:rPr>
              <w:t>Охоплення дітей дошкільного віку дошкільною освітою</w:t>
            </w:r>
          </w:p>
        </w:tc>
        <w:tc>
          <w:tcPr>
            <w:tcW w:w="1134" w:type="dxa"/>
            <w:vAlign w:val="center"/>
            <w:hideMark/>
          </w:tcPr>
          <w:p w:rsidR="00CE46FF" w:rsidRPr="00447F21" w:rsidRDefault="00CE46FF" w:rsidP="007B5FC8">
            <w:pPr>
              <w:jc w:val="center"/>
              <w:rPr>
                <w:rFonts w:cs="Times New Roman"/>
                <w:sz w:val="22"/>
                <w:szCs w:val="22"/>
              </w:rPr>
            </w:pPr>
            <w:r w:rsidRPr="00447F21">
              <w:rPr>
                <w:rFonts w:cs="Times New Roman"/>
                <w:sz w:val="22"/>
                <w:szCs w:val="22"/>
              </w:rPr>
              <w:t>%</w:t>
            </w:r>
          </w:p>
        </w:tc>
        <w:tc>
          <w:tcPr>
            <w:tcW w:w="1559" w:type="dxa"/>
            <w:vAlign w:val="center"/>
            <w:hideMark/>
          </w:tcPr>
          <w:p w:rsidR="00CE46FF" w:rsidRPr="00447F21" w:rsidRDefault="00CE46FF" w:rsidP="007B5FC8">
            <w:pPr>
              <w:jc w:val="center"/>
              <w:rPr>
                <w:rFonts w:cs="Times New Roman"/>
                <w:sz w:val="22"/>
                <w:szCs w:val="22"/>
              </w:rPr>
            </w:pPr>
            <w:r w:rsidRPr="00447F21">
              <w:rPr>
                <w:rFonts w:cs="Times New Roman"/>
                <w:sz w:val="22"/>
                <w:szCs w:val="22"/>
              </w:rPr>
              <w:t>68</w:t>
            </w:r>
          </w:p>
        </w:tc>
        <w:tc>
          <w:tcPr>
            <w:tcW w:w="1418" w:type="dxa"/>
            <w:vAlign w:val="center"/>
            <w:hideMark/>
          </w:tcPr>
          <w:p w:rsidR="00CE46FF" w:rsidRPr="00447F21" w:rsidRDefault="00CE46FF" w:rsidP="007B5FC8">
            <w:pPr>
              <w:jc w:val="center"/>
              <w:rPr>
                <w:rFonts w:cs="Times New Roman"/>
                <w:sz w:val="22"/>
                <w:szCs w:val="22"/>
                <w:lang w:val="uk-UA"/>
              </w:rPr>
            </w:pPr>
            <w:r w:rsidRPr="00447F21">
              <w:rPr>
                <w:rFonts w:cs="Times New Roman"/>
                <w:sz w:val="22"/>
                <w:szCs w:val="22"/>
                <w:lang w:val="uk-UA"/>
              </w:rPr>
              <w:t>95</w:t>
            </w:r>
          </w:p>
        </w:tc>
        <w:tc>
          <w:tcPr>
            <w:tcW w:w="1842" w:type="dxa"/>
            <w:vAlign w:val="center"/>
            <w:hideMark/>
          </w:tcPr>
          <w:p w:rsidR="00CE46FF" w:rsidRPr="00447F21" w:rsidRDefault="00CE46FF" w:rsidP="007B5FC8">
            <w:pPr>
              <w:jc w:val="center"/>
              <w:rPr>
                <w:rFonts w:cs="Times New Roman"/>
                <w:sz w:val="22"/>
                <w:szCs w:val="22"/>
                <w:lang w:val="uk-UA"/>
              </w:rPr>
            </w:pPr>
            <w:r w:rsidRPr="00447F21">
              <w:rPr>
                <w:rFonts w:cs="Times New Roman"/>
                <w:sz w:val="22"/>
                <w:szCs w:val="22"/>
                <w:lang w:val="uk-UA"/>
              </w:rPr>
              <w:t>97,4</w:t>
            </w:r>
          </w:p>
        </w:tc>
        <w:tc>
          <w:tcPr>
            <w:tcW w:w="1560" w:type="dxa"/>
            <w:vAlign w:val="center"/>
          </w:tcPr>
          <w:p w:rsidR="00CE46FF" w:rsidRPr="00447F21" w:rsidRDefault="00CE46FF" w:rsidP="007B5FC8">
            <w:pPr>
              <w:jc w:val="center"/>
              <w:rPr>
                <w:rFonts w:cs="Times New Roman"/>
                <w:sz w:val="22"/>
                <w:szCs w:val="22"/>
                <w:lang w:val="uk-UA"/>
              </w:rPr>
            </w:pPr>
            <w:r>
              <w:rPr>
                <w:rFonts w:cs="Times New Roman"/>
                <w:sz w:val="22"/>
                <w:szCs w:val="22"/>
                <w:lang w:val="uk-UA"/>
              </w:rPr>
              <w:t>95</w:t>
            </w:r>
          </w:p>
        </w:tc>
        <w:tc>
          <w:tcPr>
            <w:tcW w:w="1884" w:type="dxa"/>
            <w:vAlign w:val="center"/>
            <w:hideMark/>
          </w:tcPr>
          <w:p w:rsidR="00CE46FF" w:rsidRPr="00177C3C" w:rsidRDefault="00177C3C" w:rsidP="007B5FC8">
            <w:pPr>
              <w:jc w:val="center"/>
              <w:rPr>
                <w:rFonts w:cs="Times New Roman"/>
                <w:sz w:val="22"/>
                <w:szCs w:val="22"/>
                <w:lang w:val="uk-UA"/>
              </w:rPr>
            </w:pPr>
            <w:r>
              <w:rPr>
                <w:rFonts w:cs="Times New Roman"/>
                <w:sz w:val="22"/>
                <w:szCs w:val="22"/>
                <w:lang w:val="uk-UA"/>
              </w:rPr>
              <w:t>100%</w:t>
            </w:r>
          </w:p>
        </w:tc>
      </w:tr>
      <w:tr w:rsidR="00CE46FF" w:rsidRPr="007B5FC8" w:rsidTr="00B07213">
        <w:trPr>
          <w:trHeight w:val="690"/>
          <w:jc w:val="center"/>
        </w:trPr>
        <w:tc>
          <w:tcPr>
            <w:tcW w:w="14006" w:type="dxa"/>
            <w:gridSpan w:val="7"/>
            <w:vAlign w:val="center"/>
            <w:hideMark/>
          </w:tcPr>
          <w:p w:rsidR="00CE46FF" w:rsidRPr="00777E72" w:rsidRDefault="00CE46FF" w:rsidP="007B5FC8">
            <w:pPr>
              <w:jc w:val="center"/>
              <w:rPr>
                <w:rFonts w:cs="Times New Roman"/>
                <w:sz w:val="22"/>
                <w:szCs w:val="22"/>
              </w:rPr>
            </w:pPr>
            <w:r w:rsidRPr="00777E72">
              <w:rPr>
                <w:rFonts w:cs="Times New Roman"/>
                <w:sz w:val="22"/>
                <w:szCs w:val="22"/>
                <w:u w:val="single"/>
              </w:rPr>
              <w:t>ТУРИЗМ</w:t>
            </w:r>
          </w:p>
        </w:tc>
      </w:tr>
      <w:tr w:rsidR="00CE46FF" w:rsidRPr="007B5FC8" w:rsidTr="009E3285">
        <w:trPr>
          <w:trHeight w:val="410"/>
          <w:jc w:val="center"/>
        </w:trPr>
        <w:tc>
          <w:tcPr>
            <w:tcW w:w="4609" w:type="dxa"/>
            <w:noWrap/>
            <w:hideMark/>
          </w:tcPr>
          <w:p w:rsidR="00CE46FF" w:rsidRPr="00C935A8" w:rsidRDefault="00CE46FF" w:rsidP="007B5FC8">
            <w:pPr>
              <w:rPr>
                <w:rFonts w:cs="Times New Roman"/>
                <w:sz w:val="22"/>
                <w:szCs w:val="22"/>
              </w:rPr>
            </w:pPr>
            <w:r w:rsidRPr="00C935A8">
              <w:rPr>
                <w:rFonts w:cs="Times New Roman"/>
                <w:sz w:val="22"/>
                <w:szCs w:val="22"/>
              </w:rPr>
              <w:t>Туристичний збір</w:t>
            </w:r>
          </w:p>
        </w:tc>
        <w:tc>
          <w:tcPr>
            <w:tcW w:w="1134" w:type="dxa"/>
            <w:vAlign w:val="center"/>
            <w:hideMark/>
          </w:tcPr>
          <w:p w:rsidR="00CE46FF" w:rsidRPr="00C935A8" w:rsidRDefault="00CE46FF" w:rsidP="007B5FC8">
            <w:pPr>
              <w:jc w:val="center"/>
              <w:rPr>
                <w:rFonts w:cs="Times New Roman"/>
                <w:sz w:val="22"/>
                <w:szCs w:val="22"/>
              </w:rPr>
            </w:pPr>
            <w:r w:rsidRPr="00C935A8">
              <w:rPr>
                <w:rFonts w:cs="Times New Roman"/>
                <w:sz w:val="22"/>
                <w:szCs w:val="22"/>
              </w:rPr>
              <w:t>тис.грн.</w:t>
            </w:r>
          </w:p>
        </w:tc>
        <w:tc>
          <w:tcPr>
            <w:tcW w:w="1559" w:type="dxa"/>
            <w:vAlign w:val="center"/>
          </w:tcPr>
          <w:p w:rsidR="00CE46FF" w:rsidRPr="00C935A8" w:rsidRDefault="00CE46FF" w:rsidP="0080506C">
            <w:pPr>
              <w:jc w:val="center"/>
              <w:rPr>
                <w:rFonts w:cs="Times New Roman"/>
                <w:sz w:val="22"/>
                <w:szCs w:val="22"/>
              </w:rPr>
            </w:pPr>
            <w:r w:rsidRPr="00C935A8">
              <w:rPr>
                <w:rFonts w:cs="Times New Roman"/>
                <w:sz w:val="22"/>
                <w:szCs w:val="22"/>
              </w:rPr>
              <w:t>284,3</w:t>
            </w:r>
          </w:p>
        </w:tc>
        <w:tc>
          <w:tcPr>
            <w:tcW w:w="1418" w:type="dxa"/>
            <w:vAlign w:val="center"/>
          </w:tcPr>
          <w:p w:rsidR="00CE46FF" w:rsidRPr="00C935A8" w:rsidRDefault="00524A3C" w:rsidP="007B5FC8">
            <w:pPr>
              <w:jc w:val="center"/>
              <w:rPr>
                <w:rFonts w:cs="Times New Roman"/>
                <w:sz w:val="22"/>
                <w:szCs w:val="22"/>
                <w:lang w:val="uk-UA"/>
              </w:rPr>
            </w:pPr>
            <w:r>
              <w:rPr>
                <w:rFonts w:cs="Times New Roman"/>
                <w:sz w:val="22"/>
                <w:szCs w:val="22"/>
                <w:lang w:val="uk-UA"/>
              </w:rPr>
              <w:t>346,5</w:t>
            </w:r>
          </w:p>
        </w:tc>
        <w:tc>
          <w:tcPr>
            <w:tcW w:w="1842" w:type="dxa"/>
            <w:vAlign w:val="center"/>
          </w:tcPr>
          <w:p w:rsidR="00CE46FF" w:rsidRPr="00C935A8" w:rsidRDefault="00CE46FF" w:rsidP="0080506C">
            <w:pPr>
              <w:jc w:val="center"/>
              <w:rPr>
                <w:sz w:val="22"/>
                <w:szCs w:val="22"/>
              </w:rPr>
            </w:pPr>
            <w:r w:rsidRPr="00C935A8">
              <w:rPr>
                <w:sz w:val="22"/>
                <w:szCs w:val="22"/>
              </w:rPr>
              <w:t>455,0</w:t>
            </w:r>
          </w:p>
        </w:tc>
        <w:tc>
          <w:tcPr>
            <w:tcW w:w="1560" w:type="dxa"/>
            <w:vAlign w:val="center"/>
          </w:tcPr>
          <w:p w:rsidR="00CE46FF" w:rsidRPr="00C935A8" w:rsidRDefault="00C935A8" w:rsidP="007B5FC8">
            <w:pPr>
              <w:jc w:val="center"/>
              <w:rPr>
                <w:rFonts w:cs="Times New Roman"/>
                <w:sz w:val="22"/>
                <w:szCs w:val="22"/>
                <w:lang w:val="uk-UA"/>
              </w:rPr>
            </w:pPr>
            <w:r w:rsidRPr="00C935A8">
              <w:rPr>
                <w:rFonts w:cs="Times New Roman"/>
                <w:sz w:val="22"/>
                <w:szCs w:val="22"/>
                <w:lang w:val="uk-UA"/>
              </w:rPr>
              <w:t>1 293,5</w:t>
            </w:r>
          </w:p>
        </w:tc>
        <w:tc>
          <w:tcPr>
            <w:tcW w:w="1884" w:type="dxa"/>
            <w:vAlign w:val="center"/>
          </w:tcPr>
          <w:p w:rsidR="00CE46FF" w:rsidRPr="00C935A8" w:rsidRDefault="00D877F4" w:rsidP="007B5FC8">
            <w:pPr>
              <w:jc w:val="center"/>
              <w:rPr>
                <w:rFonts w:cs="Times New Roman"/>
                <w:sz w:val="22"/>
                <w:szCs w:val="22"/>
                <w:lang w:val="uk-UA"/>
              </w:rPr>
            </w:pPr>
            <w:r>
              <w:rPr>
                <w:rFonts w:cs="Times New Roman"/>
                <w:sz w:val="22"/>
                <w:szCs w:val="22"/>
                <w:lang w:val="uk-UA"/>
              </w:rPr>
              <w:t>373,3</w:t>
            </w:r>
            <w:r w:rsidR="00C935A8">
              <w:rPr>
                <w:rFonts w:cs="Times New Roman"/>
                <w:sz w:val="22"/>
                <w:szCs w:val="22"/>
                <w:lang w:val="uk-UA"/>
              </w:rPr>
              <w:t>%</w:t>
            </w:r>
          </w:p>
        </w:tc>
      </w:tr>
      <w:tr w:rsidR="00C935A8" w:rsidRPr="00C935A8" w:rsidTr="009E3285">
        <w:trPr>
          <w:trHeight w:val="415"/>
          <w:jc w:val="center"/>
        </w:trPr>
        <w:tc>
          <w:tcPr>
            <w:tcW w:w="4609" w:type="dxa"/>
            <w:noWrap/>
            <w:hideMark/>
          </w:tcPr>
          <w:p w:rsidR="00C935A8" w:rsidRPr="00C935A8" w:rsidRDefault="00C935A8" w:rsidP="007B5FC8">
            <w:pPr>
              <w:rPr>
                <w:rFonts w:cs="Times New Roman"/>
                <w:sz w:val="22"/>
                <w:szCs w:val="22"/>
              </w:rPr>
            </w:pPr>
            <w:r w:rsidRPr="00C935A8">
              <w:rPr>
                <w:rFonts w:cs="Times New Roman"/>
                <w:sz w:val="22"/>
                <w:szCs w:val="22"/>
              </w:rPr>
              <w:t>Доходи суб’єктів туристичної діяльності</w:t>
            </w:r>
          </w:p>
        </w:tc>
        <w:tc>
          <w:tcPr>
            <w:tcW w:w="1134" w:type="dxa"/>
            <w:vAlign w:val="center"/>
            <w:hideMark/>
          </w:tcPr>
          <w:p w:rsidR="00C935A8" w:rsidRPr="00C935A8" w:rsidRDefault="00C935A8" w:rsidP="007B5FC8">
            <w:pPr>
              <w:jc w:val="center"/>
              <w:rPr>
                <w:rFonts w:cs="Times New Roman"/>
                <w:sz w:val="22"/>
                <w:szCs w:val="22"/>
              </w:rPr>
            </w:pPr>
            <w:r w:rsidRPr="00C935A8">
              <w:rPr>
                <w:rFonts w:cs="Times New Roman"/>
                <w:sz w:val="22"/>
                <w:szCs w:val="22"/>
              </w:rPr>
              <w:t>тис.грн.</w:t>
            </w:r>
          </w:p>
        </w:tc>
        <w:tc>
          <w:tcPr>
            <w:tcW w:w="1559" w:type="dxa"/>
            <w:vAlign w:val="center"/>
          </w:tcPr>
          <w:p w:rsidR="00C935A8" w:rsidRPr="00C935A8" w:rsidRDefault="00C935A8" w:rsidP="0080506C">
            <w:pPr>
              <w:jc w:val="center"/>
              <w:rPr>
                <w:rFonts w:cs="Times New Roman"/>
                <w:sz w:val="22"/>
                <w:szCs w:val="22"/>
              </w:rPr>
            </w:pPr>
            <w:r w:rsidRPr="00C935A8">
              <w:rPr>
                <w:rFonts w:cs="Times New Roman"/>
                <w:sz w:val="22"/>
                <w:szCs w:val="22"/>
              </w:rPr>
              <w:t>199 090,4</w:t>
            </w:r>
          </w:p>
        </w:tc>
        <w:tc>
          <w:tcPr>
            <w:tcW w:w="1418" w:type="dxa"/>
            <w:vAlign w:val="center"/>
          </w:tcPr>
          <w:p w:rsidR="00C935A8" w:rsidRPr="00C935A8" w:rsidRDefault="00C935A8" w:rsidP="007B5FC8">
            <w:pPr>
              <w:jc w:val="center"/>
              <w:rPr>
                <w:rFonts w:cs="Times New Roman"/>
                <w:sz w:val="22"/>
                <w:szCs w:val="22"/>
                <w:lang w:val="uk-UA"/>
              </w:rPr>
            </w:pPr>
            <w:r w:rsidRPr="00C935A8">
              <w:rPr>
                <w:rFonts w:cs="Times New Roman"/>
                <w:sz w:val="22"/>
                <w:szCs w:val="22"/>
                <w:lang w:val="uk-UA"/>
              </w:rPr>
              <w:t>300 027,4</w:t>
            </w:r>
          </w:p>
        </w:tc>
        <w:tc>
          <w:tcPr>
            <w:tcW w:w="1842" w:type="dxa"/>
            <w:vAlign w:val="center"/>
          </w:tcPr>
          <w:p w:rsidR="00C935A8" w:rsidRPr="00C935A8" w:rsidRDefault="00C935A8" w:rsidP="0080506C">
            <w:pPr>
              <w:jc w:val="center"/>
              <w:rPr>
                <w:sz w:val="22"/>
                <w:szCs w:val="22"/>
              </w:rPr>
            </w:pPr>
            <w:r w:rsidRPr="00C935A8">
              <w:rPr>
                <w:sz w:val="22"/>
                <w:szCs w:val="22"/>
              </w:rPr>
              <w:t>227 859,0</w:t>
            </w:r>
          </w:p>
        </w:tc>
        <w:tc>
          <w:tcPr>
            <w:tcW w:w="1560" w:type="dxa"/>
            <w:vAlign w:val="center"/>
          </w:tcPr>
          <w:p w:rsidR="00C935A8" w:rsidRPr="00C935A8" w:rsidRDefault="00C935A8" w:rsidP="00C935A8">
            <w:pPr>
              <w:jc w:val="center"/>
              <w:rPr>
                <w:rFonts w:cs="Times New Roman"/>
                <w:sz w:val="22"/>
                <w:szCs w:val="22"/>
                <w:lang w:val="uk-UA"/>
              </w:rPr>
            </w:pPr>
            <w:r w:rsidRPr="00C935A8">
              <w:rPr>
                <w:rFonts w:cs="Times New Roman"/>
                <w:sz w:val="22"/>
                <w:szCs w:val="22"/>
                <w:lang w:val="uk-UA"/>
              </w:rPr>
              <w:t>Дані очікуються  у березні</w:t>
            </w:r>
          </w:p>
        </w:tc>
        <w:tc>
          <w:tcPr>
            <w:tcW w:w="1884" w:type="dxa"/>
            <w:vAlign w:val="center"/>
          </w:tcPr>
          <w:p w:rsidR="00C935A8" w:rsidRPr="00C935A8" w:rsidRDefault="00C935A8" w:rsidP="007B5FC8">
            <w:pPr>
              <w:jc w:val="center"/>
              <w:rPr>
                <w:rFonts w:cs="Times New Roman"/>
                <w:sz w:val="22"/>
                <w:szCs w:val="22"/>
                <w:lang w:val="uk-UA"/>
              </w:rPr>
            </w:pPr>
            <w:r w:rsidRPr="00C935A8">
              <w:rPr>
                <w:rFonts w:cs="Times New Roman"/>
                <w:sz w:val="22"/>
                <w:szCs w:val="22"/>
                <w:lang w:val="uk-UA"/>
              </w:rPr>
              <w:t>х</w:t>
            </w:r>
          </w:p>
        </w:tc>
      </w:tr>
      <w:tr w:rsidR="00C935A8" w:rsidRPr="007B5FC8" w:rsidTr="009E3285">
        <w:trPr>
          <w:trHeight w:val="725"/>
          <w:jc w:val="center"/>
        </w:trPr>
        <w:tc>
          <w:tcPr>
            <w:tcW w:w="4609" w:type="dxa"/>
            <w:hideMark/>
          </w:tcPr>
          <w:p w:rsidR="00C935A8" w:rsidRPr="00C935A8" w:rsidRDefault="00C935A8" w:rsidP="007B5FC8">
            <w:pPr>
              <w:jc w:val="both"/>
              <w:rPr>
                <w:rFonts w:cs="Times New Roman"/>
                <w:sz w:val="22"/>
                <w:szCs w:val="22"/>
              </w:rPr>
            </w:pPr>
            <w:r w:rsidRPr="00C935A8">
              <w:rPr>
                <w:rFonts w:cs="Times New Roman"/>
                <w:sz w:val="22"/>
                <w:szCs w:val="22"/>
              </w:rPr>
              <w:t xml:space="preserve">Обсяг сплачених суб’єктами туристичної діяльності податків до </w:t>
            </w:r>
            <w:r w:rsidRPr="00C935A8">
              <w:rPr>
                <w:rFonts w:cs="Times New Roman"/>
                <w:sz w:val="22"/>
                <w:szCs w:val="22"/>
                <w:lang w:val="uk-UA"/>
              </w:rPr>
              <w:t>місцевого</w:t>
            </w:r>
            <w:r w:rsidRPr="00C935A8">
              <w:rPr>
                <w:rFonts w:cs="Times New Roman"/>
                <w:sz w:val="22"/>
                <w:szCs w:val="22"/>
              </w:rPr>
              <w:t xml:space="preserve"> бюджету</w:t>
            </w:r>
          </w:p>
        </w:tc>
        <w:tc>
          <w:tcPr>
            <w:tcW w:w="1134" w:type="dxa"/>
            <w:vAlign w:val="center"/>
            <w:hideMark/>
          </w:tcPr>
          <w:p w:rsidR="00C935A8" w:rsidRPr="00C935A8" w:rsidRDefault="00C935A8" w:rsidP="007B5FC8">
            <w:pPr>
              <w:jc w:val="center"/>
              <w:rPr>
                <w:rFonts w:cs="Times New Roman"/>
                <w:sz w:val="22"/>
                <w:szCs w:val="22"/>
              </w:rPr>
            </w:pPr>
            <w:r w:rsidRPr="00C935A8">
              <w:rPr>
                <w:rFonts w:cs="Times New Roman"/>
                <w:sz w:val="22"/>
                <w:szCs w:val="22"/>
              </w:rPr>
              <w:t>тис.грн.</w:t>
            </w:r>
          </w:p>
        </w:tc>
        <w:tc>
          <w:tcPr>
            <w:tcW w:w="1559" w:type="dxa"/>
            <w:vAlign w:val="center"/>
          </w:tcPr>
          <w:p w:rsidR="00C935A8" w:rsidRPr="00C935A8" w:rsidRDefault="00C935A8" w:rsidP="0080506C">
            <w:pPr>
              <w:jc w:val="center"/>
              <w:rPr>
                <w:rFonts w:cs="Times New Roman"/>
                <w:sz w:val="22"/>
                <w:szCs w:val="22"/>
              </w:rPr>
            </w:pPr>
            <w:r w:rsidRPr="00C935A8">
              <w:rPr>
                <w:rFonts w:cs="Times New Roman"/>
                <w:sz w:val="22"/>
                <w:szCs w:val="22"/>
              </w:rPr>
              <w:t>15 358,1</w:t>
            </w:r>
          </w:p>
        </w:tc>
        <w:tc>
          <w:tcPr>
            <w:tcW w:w="1418" w:type="dxa"/>
            <w:vAlign w:val="center"/>
          </w:tcPr>
          <w:p w:rsidR="00C935A8" w:rsidRPr="00C935A8" w:rsidRDefault="00C935A8" w:rsidP="007B5FC8">
            <w:pPr>
              <w:jc w:val="center"/>
              <w:rPr>
                <w:rFonts w:cs="Times New Roman"/>
                <w:sz w:val="22"/>
                <w:szCs w:val="22"/>
                <w:lang w:val="uk-UA"/>
              </w:rPr>
            </w:pPr>
            <w:r w:rsidRPr="00C935A8">
              <w:rPr>
                <w:rFonts w:cs="Times New Roman"/>
                <w:sz w:val="22"/>
                <w:szCs w:val="22"/>
                <w:lang w:val="uk-UA"/>
              </w:rPr>
              <w:t>22 481,1</w:t>
            </w:r>
          </w:p>
        </w:tc>
        <w:tc>
          <w:tcPr>
            <w:tcW w:w="1842" w:type="dxa"/>
            <w:vAlign w:val="center"/>
          </w:tcPr>
          <w:p w:rsidR="00C935A8" w:rsidRPr="00C935A8" w:rsidRDefault="00C935A8" w:rsidP="0080506C">
            <w:pPr>
              <w:jc w:val="center"/>
              <w:rPr>
                <w:sz w:val="22"/>
                <w:szCs w:val="22"/>
              </w:rPr>
            </w:pPr>
            <w:r w:rsidRPr="00C935A8">
              <w:rPr>
                <w:sz w:val="22"/>
                <w:szCs w:val="22"/>
              </w:rPr>
              <w:t>21 277,5</w:t>
            </w:r>
          </w:p>
        </w:tc>
        <w:tc>
          <w:tcPr>
            <w:tcW w:w="1560" w:type="dxa"/>
            <w:vAlign w:val="center"/>
          </w:tcPr>
          <w:p w:rsidR="00C935A8" w:rsidRPr="00C935A8" w:rsidRDefault="00C935A8" w:rsidP="00C935A8">
            <w:pPr>
              <w:jc w:val="center"/>
              <w:rPr>
                <w:rFonts w:cs="Times New Roman"/>
                <w:sz w:val="22"/>
                <w:szCs w:val="22"/>
                <w:lang w:val="uk-UA"/>
              </w:rPr>
            </w:pPr>
            <w:r w:rsidRPr="00C935A8">
              <w:rPr>
                <w:rFonts w:cs="Times New Roman"/>
                <w:sz w:val="22"/>
                <w:szCs w:val="22"/>
                <w:lang w:val="uk-UA"/>
              </w:rPr>
              <w:t>Дані очікуються  у березні</w:t>
            </w:r>
          </w:p>
        </w:tc>
        <w:tc>
          <w:tcPr>
            <w:tcW w:w="1884" w:type="dxa"/>
            <w:vAlign w:val="center"/>
          </w:tcPr>
          <w:p w:rsidR="00C935A8" w:rsidRPr="00C935A8" w:rsidRDefault="00C935A8" w:rsidP="007B5FC8">
            <w:pPr>
              <w:jc w:val="center"/>
              <w:rPr>
                <w:rFonts w:cs="Times New Roman"/>
                <w:sz w:val="22"/>
                <w:szCs w:val="22"/>
                <w:lang w:val="uk-UA"/>
              </w:rPr>
            </w:pPr>
            <w:r w:rsidRPr="00C935A8">
              <w:rPr>
                <w:rFonts w:cs="Times New Roman"/>
                <w:sz w:val="22"/>
                <w:szCs w:val="22"/>
                <w:lang w:val="uk-UA"/>
              </w:rPr>
              <w:t>х</w:t>
            </w:r>
          </w:p>
        </w:tc>
      </w:tr>
      <w:tr w:rsidR="00C935A8" w:rsidRPr="00777E72" w:rsidTr="00B07213">
        <w:trPr>
          <w:trHeight w:val="556"/>
          <w:jc w:val="center"/>
        </w:trPr>
        <w:tc>
          <w:tcPr>
            <w:tcW w:w="14006" w:type="dxa"/>
            <w:gridSpan w:val="7"/>
            <w:vAlign w:val="center"/>
            <w:hideMark/>
          </w:tcPr>
          <w:p w:rsidR="00C935A8" w:rsidRPr="00777E72" w:rsidRDefault="00C935A8" w:rsidP="007B5FC8">
            <w:pPr>
              <w:jc w:val="center"/>
              <w:rPr>
                <w:rFonts w:cs="Times New Roman"/>
                <w:sz w:val="22"/>
                <w:szCs w:val="22"/>
              </w:rPr>
            </w:pPr>
            <w:r w:rsidRPr="00777E72">
              <w:rPr>
                <w:rFonts w:cs="Times New Roman"/>
                <w:sz w:val="22"/>
                <w:szCs w:val="22"/>
                <w:u w:val="single"/>
              </w:rPr>
              <w:lastRenderedPageBreak/>
              <w:t>ОХОРОНА НАВКОЛИШНЬОГО ПРИРОДНОГО СЕРЕДОВИЩА</w:t>
            </w:r>
          </w:p>
        </w:tc>
      </w:tr>
      <w:tr w:rsidR="00C935A8" w:rsidRPr="00777E72" w:rsidTr="009E3285">
        <w:trPr>
          <w:trHeight w:val="990"/>
          <w:jc w:val="center"/>
        </w:trPr>
        <w:tc>
          <w:tcPr>
            <w:tcW w:w="4609" w:type="dxa"/>
            <w:hideMark/>
          </w:tcPr>
          <w:p w:rsidR="00C935A8" w:rsidRPr="00777E72" w:rsidRDefault="00C935A8" w:rsidP="007B5FC8">
            <w:pPr>
              <w:jc w:val="both"/>
              <w:rPr>
                <w:rFonts w:cs="Times New Roman"/>
                <w:sz w:val="22"/>
                <w:szCs w:val="22"/>
              </w:rPr>
            </w:pPr>
            <w:r w:rsidRPr="00777E72">
              <w:rPr>
                <w:rFonts w:cs="Times New Roman"/>
                <w:sz w:val="22"/>
                <w:szCs w:val="22"/>
              </w:rPr>
              <w:t xml:space="preserve">Викиди забруднюючих речовин в атмосферне повітря стаціонарними джерелами забруднення у розрахунку на одну особу </w:t>
            </w:r>
          </w:p>
        </w:tc>
        <w:tc>
          <w:tcPr>
            <w:tcW w:w="1134" w:type="dxa"/>
            <w:noWrap/>
            <w:vAlign w:val="center"/>
            <w:hideMark/>
          </w:tcPr>
          <w:p w:rsidR="00C935A8" w:rsidRPr="00777E72" w:rsidRDefault="00C935A8" w:rsidP="007B5FC8">
            <w:pPr>
              <w:jc w:val="center"/>
              <w:rPr>
                <w:rFonts w:cs="Times New Roman"/>
                <w:sz w:val="22"/>
                <w:szCs w:val="22"/>
              </w:rPr>
            </w:pPr>
            <w:r w:rsidRPr="00777E72">
              <w:rPr>
                <w:rFonts w:cs="Times New Roman"/>
                <w:sz w:val="22"/>
                <w:szCs w:val="22"/>
              </w:rPr>
              <w:t>кг</w:t>
            </w:r>
          </w:p>
        </w:tc>
        <w:tc>
          <w:tcPr>
            <w:tcW w:w="1559" w:type="dxa"/>
            <w:noWrap/>
            <w:vAlign w:val="center"/>
          </w:tcPr>
          <w:p w:rsidR="00C935A8" w:rsidRPr="00777E72" w:rsidRDefault="00C935A8" w:rsidP="0080506C">
            <w:pPr>
              <w:jc w:val="center"/>
              <w:rPr>
                <w:rFonts w:cs="Times New Roman"/>
                <w:sz w:val="22"/>
                <w:szCs w:val="22"/>
              </w:rPr>
            </w:pPr>
            <w:r w:rsidRPr="00777E72">
              <w:rPr>
                <w:rFonts w:cs="Times New Roman"/>
                <w:sz w:val="22"/>
                <w:szCs w:val="22"/>
              </w:rPr>
              <w:t>1,75</w:t>
            </w:r>
          </w:p>
        </w:tc>
        <w:tc>
          <w:tcPr>
            <w:tcW w:w="1418" w:type="dxa"/>
            <w:noWrap/>
            <w:vAlign w:val="center"/>
          </w:tcPr>
          <w:p w:rsidR="00C935A8" w:rsidRPr="00777E72" w:rsidRDefault="00C935A8" w:rsidP="0080506C">
            <w:pPr>
              <w:jc w:val="center"/>
              <w:rPr>
                <w:sz w:val="22"/>
                <w:szCs w:val="22"/>
                <w:lang w:val="uk-UA"/>
              </w:rPr>
            </w:pPr>
            <w:r w:rsidRPr="00777E72">
              <w:rPr>
                <w:sz w:val="22"/>
                <w:szCs w:val="22"/>
                <w:lang w:val="uk-UA"/>
              </w:rPr>
              <w:t>1,4</w:t>
            </w:r>
          </w:p>
        </w:tc>
        <w:tc>
          <w:tcPr>
            <w:tcW w:w="1842" w:type="dxa"/>
            <w:noWrap/>
            <w:vAlign w:val="center"/>
          </w:tcPr>
          <w:p w:rsidR="00C935A8" w:rsidRPr="00777E72" w:rsidRDefault="00C935A8" w:rsidP="0080506C">
            <w:pPr>
              <w:jc w:val="center"/>
              <w:rPr>
                <w:sz w:val="22"/>
                <w:szCs w:val="22"/>
              </w:rPr>
            </w:pPr>
            <w:r w:rsidRPr="00777E72">
              <w:rPr>
                <w:sz w:val="22"/>
                <w:szCs w:val="22"/>
              </w:rPr>
              <w:t>1,70</w:t>
            </w:r>
          </w:p>
        </w:tc>
        <w:tc>
          <w:tcPr>
            <w:tcW w:w="1560" w:type="dxa"/>
            <w:vAlign w:val="center"/>
          </w:tcPr>
          <w:p w:rsidR="00C935A8" w:rsidRPr="005A1AC2" w:rsidRDefault="00C935A8" w:rsidP="007B5FC8">
            <w:pPr>
              <w:jc w:val="center"/>
              <w:rPr>
                <w:rFonts w:cs="Times New Roman"/>
                <w:sz w:val="22"/>
                <w:szCs w:val="22"/>
                <w:lang w:val="uk-UA"/>
              </w:rPr>
            </w:pPr>
            <w:r>
              <w:rPr>
                <w:rFonts w:cs="Times New Roman"/>
                <w:sz w:val="22"/>
                <w:szCs w:val="22"/>
                <w:lang w:val="uk-UA"/>
              </w:rPr>
              <w:t>Дані очікуються  у травні</w:t>
            </w:r>
          </w:p>
        </w:tc>
        <w:tc>
          <w:tcPr>
            <w:tcW w:w="1884" w:type="dxa"/>
            <w:noWrap/>
            <w:vAlign w:val="center"/>
            <w:hideMark/>
          </w:tcPr>
          <w:p w:rsidR="00C935A8" w:rsidRPr="00777E72" w:rsidRDefault="00C935A8" w:rsidP="007B5FC8">
            <w:pPr>
              <w:jc w:val="center"/>
              <w:rPr>
                <w:rFonts w:cs="Times New Roman"/>
                <w:sz w:val="22"/>
                <w:szCs w:val="22"/>
              </w:rPr>
            </w:pPr>
            <w:r w:rsidRPr="00777E72">
              <w:rPr>
                <w:rFonts w:cs="Times New Roman"/>
                <w:sz w:val="22"/>
                <w:szCs w:val="22"/>
              </w:rPr>
              <w:t>х</w:t>
            </w:r>
          </w:p>
        </w:tc>
      </w:tr>
      <w:tr w:rsidR="00C935A8" w:rsidRPr="00777E72" w:rsidTr="009E3285">
        <w:trPr>
          <w:trHeight w:val="948"/>
          <w:jc w:val="center"/>
        </w:trPr>
        <w:tc>
          <w:tcPr>
            <w:tcW w:w="4609" w:type="dxa"/>
            <w:hideMark/>
          </w:tcPr>
          <w:p w:rsidR="00C935A8" w:rsidRPr="00777E72" w:rsidRDefault="00C935A8" w:rsidP="007B5FC8">
            <w:pPr>
              <w:jc w:val="both"/>
              <w:rPr>
                <w:rFonts w:cs="Times New Roman"/>
                <w:sz w:val="22"/>
                <w:szCs w:val="22"/>
              </w:rPr>
            </w:pPr>
            <w:r w:rsidRPr="00777E72">
              <w:rPr>
                <w:rFonts w:cs="Times New Roman"/>
                <w:sz w:val="22"/>
                <w:szCs w:val="22"/>
              </w:rPr>
              <w:t xml:space="preserve">Темп зростання (зменшення) викидів забруднюючих речовин в атмосферне повітря стаціонарними джерелами забруднення </w:t>
            </w:r>
          </w:p>
        </w:tc>
        <w:tc>
          <w:tcPr>
            <w:tcW w:w="1134" w:type="dxa"/>
            <w:noWrap/>
            <w:vAlign w:val="center"/>
            <w:hideMark/>
          </w:tcPr>
          <w:p w:rsidR="00C935A8" w:rsidRPr="00777E72" w:rsidRDefault="00C935A8" w:rsidP="007B5FC8">
            <w:pPr>
              <w:jc w:val="center"/>
              <w:rPr>
                <w:rFonts w:cs="Times New Roman"/>
                <w:sz w:val="22"/>
                <w:szCs w:val="22"/>
              </w:rPr>
            </w:pPr>
            <w:r w:rsidRPr="00777E72">
              <w:rPr>
                <w:rFonts w:cs="Times New Roman"/>
                <w:sz w:val="22"/>
                <w:szCs w:val="22"/>
              </w:rPr>
              <w:t>%</w:t>
            </w:r>
          </w:p>
        </w:tc>
        <w:tc>
          <w:tcPr>
            <w:tcW w:w="1559" w:type="dxa"/>
            <w:noWrap/>
            <w:vAlign w:val="center"/>
          </w:tcPr>
          <w:p w:rsidR="00C935A8" w:rsidRPr="00777E72" w:rsidRDefault="00C935A8" w:rsidP="0080506C">
            <w:pPr>
              <w:jc w:val="center"/>
              <w:rPr>
                <w:rFonts w:cs="Times New Roman"/>
                <w:sz w:val="22"/>
                <w:szCs w:val="22"/>
              </w:rPr>
            </w:pPr>
            <w:r w:rsidRPr="00777E72">
              <w:rPr>
                <w:rFonts w:cs="Times New Roman"/>
                <w:sz w:val="22"/>
                <w:szCs w:val="22"/>
              </w:rPr>
              <w:t>99,9</w:t>
            </w:r>
          </w:p>
        </w:tc>
        <w:tc>
          <w:tcPr>
            <w:tcW w:w="1418" w:type="dxa"/>
            <w:noWrap/>
            <w:vAlign w:val="center"/>
          </w:tcPr>
          <w:p w:rsidR="00C935A8" w:rsidRPr="00777E72" w:rsidRDefault="00C935A8" w:rsidP="0080506C">
            <w:pPr>
              <w:jc w:val="center"/>
              <w:rPr>
                <w:sz w:val="22"/>
                <w:szCs w:val="22"/>
                <w:lang w:val="uk-UA"/>
              </w:rPr>
            </w:pPr>
            <w:r w:rsidRPr="00777E72">
              <w:rPr>
                <w:sz w:val="22"/>
                <w:szCs w:val="22"/>
                <w:lang w:val="uk-UA"/>
              </w:rPr>
              <w:t>81,8</w:t>
            </w:r>
          </w:p>
        </w:tc>
        <w:tc>
          <w:tcPr>
            <w:tcW w:w="1842" w:type="dxa"/>
            <w:noWrap/>
            <w:vAlign w:val="center"/>
          </w:tcPr>
          <w:p w:rsidR="00C935A8" w:rsidRPr="00777E72" w:rsidRDefault="00C935A8" w:rsidP="0080506C">
            <w:pPr>
              <w:jc w:val="center"/>
              <w:rPr>
                <w:sz w:val="22"/>
                <w:szCs w:val="22"/>
              </w:rPr>
            </w:pPr>
            <w:r w:rsidRPr="00777E72">
              <w:rPr>
                <w:sz w:val="22"/>
                <w:szCs w:val="22"/>
              </w:rPr>
              <w:t>98,8%</w:t>
            </w:r>
          </w:p>
        </w:tc>
        <w:tc>
          <w:tcPr>
            <w:tcW w:w="1560" w:type="dxa"/>
            <w:vAlign w:val="center"/>
          </w:tcPr>
          <w:p w:rsidR="00C935A8" w:rsidRPr="005A1AC2" w:rsidRDefault="00C935A8" w:rsidP="00592A4A">
            <w:pPr>
              <w:jc w:val="center"/>
              <w:rPr>
                <w:rFonts w:cs="Times New Roman"/>
                <w:sz w:val="22"/>
                <w:szCs w:val="22"/>
                <w:lang w:val="uk-UA"/>
              </w:rPr>
            </w:pPr>
            <w:r>
              <w:rPr>
                <w:rFonts w:cs="Times New Roman"/>
                <w:sz w:val="22"/>
                <w:szCs w:val="22"/>
                <w:lang w:val="uk-UA"/>
              </w:rPr>
              <w:t>Дані очікуються  у травні</w:t>
            </w:r>
          </w:p>
        </w:tc>
        <w:tc>
          <w:tcPr>
            <w:tcW w:w="1884" w:type="dxa"/>
            <w:noWrap/>
            <w:vAlign w:val="center"/>
            <w:hideMark/>
          </w:tcPr>
          <w:p w:rsidR="00C935A8" w:rsidRPr="00777E72" w:rsidRDefault="00C935A8" w:rsidP="007B5FC8">
            <w:pPr>
              <w:jc w:val="center"/>
              <w:rPr>
                <w:rFonts w:cs="Times New Roman"/>
                <w:sz w:val="22"/>
                <w:szCs w:val="22"/>
              </w:rPr>
            </w:pPr>
            <w:r w:rsidRPr="00777E72">
              <w:rPr>
                <w:rFonts w:cs="Times New Roman"/>
                <w:sz w:val="22"/>
                <w:szCs w:val="22"/>
              </w:rPr>
              <w:t>х</w:t>
            </w:r>
          </w:p>
        </w:tc>
      </w:tr>
    </w:tbl>
    <w:p w:rsidR="007B5FC8" w:rsidRPr="00777E72" w:rsidRDefault="007B5FC8" w:rsidP="007B5FC8"/>
    <w:p w:rsidR="007B5FC8" w:rsidRPr="00777E72" w:rsidRDefault="007B5FC8" w:rsidP="007B5FC8">
      <w:pPr>
        <w:rPr>
          <w:i/>
          <w:lang w:val="uk-UA"/>
        </w:rPr>
      </w:pPr>
      <w:r w:rsidRPr="00777E72">
        <w:rPr>
          <w:lang w:val="uk-UA"/>
        </w:rPr>
        <w:tab/>
      </w:r>
      <w:r w:rsidRPr="00777E72">
        <w:rPr>
          <w:lang w:val="uk-UA"/>
        </w:rPr>
        <w:tab/>
      </w:r>
      <w:r w:rsidRPr="00777E72">
        <w:rPr>
          <w:i/>
          <w:lang w:val="uk-UA"/>
        </w:rPr>
        <w:t xml:space="preserve">Примітка: </w:t>
      </w:r>
    </w:p>
    <w:p w:rsidR="007B5FC8" w:rsidRPr="00777E72" w:rsidRDefault="00FC3CA5" w:rsidP="007B5FC8">
      <w:pPr>
        <w:rPr>
          <w:i/>
          <w:lang w:val="uk-UA"/>
        </w:rPr>
      </w:pPr>
      <w:r>
        <w:rPr>
          <w:i/>
          <w:lang w:val="uk-UA"/>
        </w:rPr>
        <w:t xml:space="preserve"> </w:t>
      </w:r>
    </w:p>
    <w:p w:rsidR="007B5FC8" w:rsidRPr="00DE39AC" w:rsidRDefault="007B5FC8" w:rsidP="007B5FC8">
      <w:pPr>
        <w:rPr>
          <w:i/>
          <w:lang w:val="uk-UA"/>
        </w:rPr>
      </w:pPr>
      <w:r w:rsidRPr="00435E81">
        <w:rPr>
          <w:i/>
          <w:lang w:val="uk-UA"/>
        </w:rPr>
        <w:tab/>
      </w:r>
      <w:r w:rsidRPr="00435E81">
        <w:rPr>
          <w:i/>
          <w:lang w:val="uk-UA"/>
        </w:rPr>
        <w:tab/>
        <w:t>* - дані за 9 місяців 201</w:t>
      </w:r>
      <w:r w:rsidR="00993E43" w:rsidRPr="00435E81">
        <w:rPr>
          <w:i/>
          <w:lang w:val="uk-UA"/>
        </w:rPr>
        <w:t>9</w:t>
      </w:r>
      <w:r w:rsidRPr="00435E81">
        <w:rPr>
          <w:i/>
          <w:lang w:val="uk-UA"/>
        </w:rPr>
        <w:t xml:space="preserve"> року</w:t>
      </w:r>
    </w:p>
    <w:p w:rsidR="007B5FC8" w:rsidRDefault="007B5FC8" w:rsidP="007B5FC8">
      <w:pPr>
        <w:rPr>
          <w:i/>
          <w:lang w:val="uk-UA"/>
        </w:rPr>
      </w:pPr>
      <w:r w:rsidRPr="00DE39AC">
        <w:rPr>
          <w:i/>
          <w:lang w:val="uk-UA"/>
        </w:rPr>
        <w:tab/>
      </w:r>
      <w:r w:rsidRPr="00DE39AC">
        <w:rPr>
          <w:i/>
          <w:lang w:val="uk-UA"/>
        </w:rPr>
        <w:tab/>
      </w:r>
      <w:r w:rsidR="00993E43">
        <w:rPr>
          <w:i/>
          <w:lang w:val="uk-UA"/>
        </w:rPr>
        <w:t>** - дані за січень-листопад 2019року</w:t>
      </w:r>
    </w:p>
    <w:p w:rsidR="00737C4D" w:rsidRDefault="00737C4D" w:rsidP="007B5FC8">
      <w:pPr>
        <w:rPr>
          <w:i/>
          <w:lang w:val="uk-UA"/>
        </w:rPr>
      </w:pPr>
    </w:p>
    <w:p w:rsidR="00737C4D" w:rsidRDefault="00737C4D" w:rsidP="007B5FC8">
      <w:pPr>
        <w:rPr>
          <w:i/>
          <w:lang w:val="uk-UA"/>
        </w:rPr>
      </w:pPr>
    </w:p>
    <w:p w:rsidR="00737C4D" w:rsidRDefault="00737C4D" w:rsidP="007B5FC8">
      <w:pPr>
        <w:rPr>
          <w:i/>
          <w:lang w:val="uk-UA"/>
        </w:rPr>
      </w:pPr>
    </w:p>
    <w:p w:rsidR="00E60298" w:rsidRPr="00ED0067" w:rsidRDefault="00E60298" w:rsidP="00E60298">
      <w:pPr>
        <w:ind w:left="708" w:firstLine="708"/>
      </w:pPr>
      <w:r w:rsidRPr="00ED0067">
        <w:t>Начальник управління економічного</w:t>
      </w:r>
    </w:p>
    <w:p w:rsidR="00E60298" w:rsidRPr="00ED0067" w:rsidRDefault="00E60298" w:rsidP="00E60298">
      <w:pPr>
        <w:ind w:left="708" w:firstLine="708"/>
      </w:pPr>
      <w:r w:rsidRPr="00ED0067">
        <w:t>та інтеграційного розвитку</w:t>
      </w:r>
      <w:r w:rsidRPr="00ED0067">
        <w:tab/>
      </w:r>
      <w:r w:rsidRPr="00ED0067">
        <w:tab/>
      </w:r>
      <w:r w:rsidRPr="00ED0067">
        <w:tab/>
      </w:r>
      <w:r w:rsidRPr="00ED0067">
        <w:tab/>
      </w:r>
      <w:r w:rsidRPr="00ED0067">
        <w:tab/>
      </w:r>
      <w:r>
        <w:rPr>
          <w:lang w:val="uk-UA"/>
        </w:rPr>
        <w:tab/>
      </w:r>
      <w:r>
        <w:rPr>
          <w:lang w:val="uk-UA"/>
        </w:rPr>
        <w:tab/>
      </w:r>
      <w:r>
        <w:rPr>
          <w:lang w:val="uk-UA"/>
        </w:rPr>
        <w:tab/>
      </w:r>
      <w:r>
        <w:rPr>
          <w:lang w:val="uk-UA"/>
        </w:rPr>
        <w:tab/>
      </w:r>
      <w:r>
        <w:rPr>
          <w:lang w:val="uk-UA"/>
        </w:rPr>
        <w:tab/>
      </w:r>
      <w:r>
        <w:rPr>
          <w:lang w:val="uk-UA"/>
        </w:rPr>
        <w:tab/>
      </w:r>
      <w:r w:rsidRPr="00ED0067">
        <w:t>Надія Кромкач</w:t>
      </w:r>
    </w:p>
    <w:p w:rsidR="00E60298" w:rsidRDefault="00E60298" w:rsidP="00E60298"/>
    <w:p w:rsidR="00737C4D" w:rsidRDefault="00737C4D" w:rsidP="007B5FC8">
      <w:pPr>
        <w:rPr>
          <w:i/>
          <w:lang w:val="uk-UA"/>
        </w:rPr>
      </w:pPr>
    </w:p>
    <w:p w:rsidR="00737C4D" w:rsidRDefault="00737C4D" w:rsidP="007B5FC8">
      <w:pPr>
        <w:rPr>
          <w:i/>
          <w:lang w:val="uk-UA"/>
        </w:rPr>
      </w:pPr>
    </w:p>
    <w:p w:rsidR="00737C4D" w:rsidRDefault="00737C4D" w:rsidP="007B5FC8">
      <w:pPr>
        <w:rPr>
          <w:i/>
          <w:lang w:val="uk-UA"/>
        </w:rPr>
      </w:pPr>
    </w:p>
    <w:p w:rsidR="00737C4D" w:rsidRDefault="00737C4D" w:rsidP="007B5FC8">
      <w:pPr>
        <w:rPr>
          <w:i/>
          <w:lang w:val="uk-UA"/>
        </w:rPr>
      </w:pPr>
    </w:p>
    <w:p w:rsidR="00737C4D" w:rsidRDefault="00737C4D" w:rsidP="007B5FC8">
      <w:pPr>
        <w:rPr>
          <w:i/>
          <w:lang w:val="uk-UA"/>
        </w:rPr>
      </w:pPr>
    </w:p>
    <w:p w:rsidR="00737C4D" w:rsidRDefault="00737C4D" w:rsidP="007B5FC8">
      <w:pPr>
        <w:rPr>
          <w:i/>
          <w:lang w:val="uk-UA"/>
        </w:rPr>
      </w:pPr>
    </w:p>
    <w:p w:rsidR="00737C4D" w:rsidRDefault="00737C4D" w:rsidP="007B5FC8">
      <w:pPr>
        <w:rPr>
          <w:i/>
          <w:lang w:val="uk-UA"/>
        </w:rPr>
      </w:pPr>
    </w:p>
    <w:p w:rsidR="00737C4D" w:rsidRPr="00737C4D" w:rsidRDefault="00737C4D" w:rsidP="00737C4D">
      <w:pPr>
        <w:ind w:left="10620"/>
        <w:rPr>
          <w:rFonts w:cs="Times New Roman"/>
          <w:lang w:val="uk-UA"/>
        </w:rPr>
      </w:pPr>
      <w:r w:rsidRPr="00E65147">
        <w:rPr>
          <w:rFonts w:cs="Times New Roman"/>
        </w:rPr>
        <w:lastRenderedPageBreak/>
        <w:t xml:space="preserve">Додаток </w:t>
      </w:r>
      <w:r>
        <w:rPr>
          <w:rFonts w:cs="Times New Roman"/>
          <w:lang w:val="uk-UA"/>
        </w:rPr>
        <w:t>2</w:t>
      </w:r>
    </w:p>
    <w:p w:rsidR="00737C4D" w:rsidRDefault="00737C4D" w:rsidP="00737C4D">
      <w:pPr>
        <w:ind w:left="10620"/>
        <w:rPr>
          <w:rFonts w:cs="Times New Roman"/>
        </w:rPr>
      </w:pPr>
      <w:r w:rsidRPr="00E65147">
        <w:rPr>
          <w:rFonts w:cs="Times New Roman"/>
        </w:rPr>
        <w:t>до Інформації про виконання Програми економічного і соціального розвитку м.Івано-Франківська за 2019 рік</w:t>
      </w:r>
    </w:p>
    <w:p w:rsidR="00737C4D" w:rsidRPr="00E65147" w:rsidRDefault="00737C4D" w:rsidP="00737C4D">
      <w:pPr>
        <w:ind w:left="10620"/>
        <w:rPr>
          <w:rFonts w:cs="Times New Roman"/>
        </w:rPr>
      </w:pPr>
    </w:p>
    <w:p w:rsidR="00737C4D" w:rsidRPr="00E65147" w:rsidRDefault="00737C4D" w:rsidP="00737C4D">
      <w:pPr>
        <w:jc w:val="center"/>
        <w:rPr>
          <w:rFonts w:cs="Times New Roman"/>
        </w:rPr>
      </w:pPr>
      <w:r>
        <w:rPr>
          <w:rFonts w:cs="Times New Roman"/>
        </w:rPr>
        <w:t>Інформація про ста виконання міських цільових програм за 2019 рік</w:t>
      </w:r>
    </w:p>
    <w:tbl>
      <w:tblPr>
        <w:tblW w:w="15051" w:type="dxa"/>
        <w:tblInd w:w="93" w:type="dxa"/>
        <w:tblLook w:val="04A0" w:firstRow="1" w:lastRow="0" w:firstColumn="1" w:lastColumn="0" w:noHBand="0" w:noVBand="1"/>
      </w:tblPr>
      <w:tblGrid>
        <w:gridCol w:w="706"/>
        <w:gridCol w:w="4696"/>
        <w:gridCol w:w="1649"/>
        <w:gridCol w:w="1648"/>
        <w:gridCol w:w="1649"/>
        <w:gridCol w:w="1648"/>
        <w:gridCol w:w="1649"/>
        <w:gridCol w:w="1648"/>
      </w:tblGrid>
      <w:tr w:rsidR="00737C4D" w:rsidRPr="00A45FDE" w:rsidTr="00A73882">
        <w:trPr>
          <w:trHeight w:val="565"/>
        </w:trPr>
        <w:tc>
          <w:tcPr>
            <w:tcW w:w="706" w:type="dxa"/>
            <w:vMerge w:val="restart"/>
            <w:tcBorders>
              <w:top w:val="single" w:sz="8" w:space="0" w:color="auto"/>
              <w:left w:val="single" w:sz="4" w:space="0" w:color="auto"/>
              <w:right w:val="single" w:sz="8" w:space="0" w:color="auto"/>
            </w:tcBorders>
            <w:shd w:val="clear" w:color="000000" w:fill="FFFFFF"/>
          </w:tcPr>
          <w:p w:rsidR="00737C4D" w:rsidRPr="00A45FDE" w:rsidRDefault="00737C4D" w:rsidP="00A73882">
            <w:pPr>
              <w:jc w:val="center"/>
              <w:rPr>
                <w:rFonts w:eastAsia="Times New Roman" w:cs="Times New Roman"/>
                <w:b/>
                <w:bCs/>
                <w:sz w:val="24"/>
                <w:szCs w:val="24"/>
                <w:lang w:eastAsia="uk-UA"/>
              </w:rPr>
            </w:pPr>
            <w:r w:rsidRPr="00A45FDE">
              <w:rPr>
                <w:rFonts w:eastAsia="Times New Roman" w:cs="Times New Roman"/>
                <w:b/>
                <w:bCs/>
                <w:sz w:val="24"/>
                <w:szCs w:val="24"/>
                <w:lang w:eastAsia="uk-UA"/>
              </w:rPr>
              <w:t>№ п/п</w:t>
            </w:r>
          </w:p>
        </w:tc>
        <w:tc>
          <w:tcPr>
            <w:tcW w:w="4696"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737C4D" w:rsidRPr="00A45FDE" w:rsidRDefault="00737C4D" w:rsidP="00A73882">
            <w:pPr>
              <w:jc w:val="center"/>
              <w:rPr>
                <w:rFonts w:eastAsia="Times New Roman" w:cs="Times New Roman"/>
                <w:b/>
                <w:bCs/>
                <w:sz w:val="24"/>
                <w:szCs w:val="24"/>
                <w:lang w:eastAsia="uk-UA"/>
              </w:rPr>
            </w:pPr>
            <w:r w:rsidRPr="00A45FDE">
              <w:rPr>
                <w:rFonts w:eastAsia="Times New Roman" w:cs="Times New Roman"/>
                <w:b/>
                <w:bCs/>
                <w:sz w:val="24"/>
                <w:szCs w:val="24"/>
                <w:lang w:eastAsia="uk-UA"/>
              </w:rPr>
              <w:t>Найменування місцевої/ регіональної програми</w:t>
            </w:r>
          </w:p>
        </w:tc>
        <w:tc>
          <w:tcPr>
            <w:tcW w:w="3118" w:type="dxa"/>
            <w:gridSpan w:val="2"/>
            <w:tcBorders>
              <w:top w:val="single" w:sz="8" w:space="0" w:color="auto"/>
              <w:left w:val="single" w:sz="8" w:space="0" w:color="auto"/>
              <w:bottom w:val="single" w:sz="8" w:space="0" w:color="auto"/>
              <w:right w:val="single" w:sz="8" w:space="0" w:color="000000"/>
            </w:tcBorders>
            <w:shd w:val="clear" w:color="000000" w:fill="FFFFFF"/>
            <w:vAlign w:val="center"/>
            <w:hideMark/>
          </w:tcPr>
          <w:p w:rsidR="00737C4D" w:rsidRPr="00A45FDE" w:rsidRDefault="00737C4D" w:rsidP="00A73882">
            <w:pPr>
              <w:jc w:val="center"/>
              <w:rPr>
                <w:rFonts w:eastAsia="Times New Roman" w:cs="Times New Roman"/>
                <w:b/>
                <w:bCs/>
                <w:sz w:val="24"/>
                <w:szCs w:val="24"/>
                <w:lang w:eastAsia="uk-UA"/>
              </w:rPr>
            </w:pPr>
            <w:r w:rsidRPr="00A45FDE">
              <w:rPr>
                <w:rFonts w:eastAsia="Times New Roman" w:cs="Times New Roman"/>
                <w:b/>
                <w:bCs/>
                <w:sz w:val="24"/>
                <w:szCs w:val="24"/>
                <w:lang w:eastAsia="uk-UA"/>
              </w:rPr>
              <w:t>Загальний фонд</w:t>
            </w:r>
          </w:p>
        </w:tc>
        <w:tc>
          <w:tcPr>
            <w:tcW w:w="3196" w:type="dxa"/>
            <w:gridSpan w:val="2"/>
            <w:tcBorders>
              <w:top w:val="single" w:sz="8" w:space="0" w:color="auto"/>
              <w:left w:val="nil"/>
              <w:bottom w:val="single" w:sz="8" w:space="0" w:color="auto"/>
              <w:right w:val="single" w:sz="8" w:space="0" w:color="000000"/>
            </w:tcBorders>
            <w:shd w:val="clear" w:color="000000" w:fill="FFFFFF"/>
            <w:vAlign w:val="center"/>
            <w:hideMark/>
          </w:tcPr>
          <w:p w:rsidR="00737C4D" w:rsidRPr="00A45FDE" w:rsidRDefault="00737C4D" w:rsidP="00A73882">
            <w:pPr>
              <w:jc w:val="center"/>
              <w:rPr>
                <w:rFonts w:eastAsia="Times New Roman" w:cs="Times New Roman"/>
                <w:b/>
                <w:bCs/>
                <w:sz w:val="24"/>
                <w:szCs w:val="24"/>
                <w:lang w:eastAsia="uk-UA"/>
              </w:rPr>
            </w:pPr>
            <w:r w:rsidRPr="00A45FDE">
              <w:rPr>
                <w:rFonts w:eastAsia="Times New Roman" w:cs="Times New Roman"/>
                <w:b/>
                <w:bCs/>
                <w:sz w:val="24"/>
                <w:szCs w:val="24"/>
                <w:lang w:eastAsia="uk-UA"/>
              </w:rPr>
              <w:t>Спеціальний фонд</w:t>
            </w:r>
          </w:p>
        </w:tc>
        <w:tc>
          <w:tcPr>
            <w:tcW w:w="3335" w:type="dxa"/>
            <w:gridSpan w:val="2"/>
            <w:tcBorders>
              <w:top w:val="single" w:sz="8" w:space="0" w:color="auto"/>
              <w:left w:val="nil"/>
              <w:bottom w:val="single" w:sz="8" w:space="0" w:color="auto"/>
              <w:right w:val="single" w:sz="8" w:space="0" w:color="000000"/>
            </w:tcBorders>
            <w:shd w:val="clear" w:color="000000" w:fill="FFFFFF"/>
            <w:vAlign w:val="center"/>
            <w:hideMark/>
          </w:tcPr>
          <w:p w:rsidR="00737C4D" w:rsidRPr="00A45FDE" w:rsidRDefault="00737C4D" w:rsidP="00A73882">
            <w:pPr>
              <w:jc w:val="center"/>
              <w:rPr>
                <w:rFonts w:eastAsia="Times New Roman" w:cs="Times New Roman"/>
                <w:b/>
                <w:bCs/>
                <w:sz w:val="24"/>
                <w:szCs w:val="24"/>
                <w:lang w:eastAsia="uk-UA"/>
              </w:rPr>
            </w:pPr>
            <w:r w:rsidRPr="00A45FDE">
              <w:rPr>
                <w:rFonts w:eastAsia="Times New Roman" w:cs="Times New Roman"/>
                <w:b/>
                <w:bCs/>
                <w:sz w:val="24"/>
                <w:szCs w:val="24"/>
                <w:lang w:eastAsia="uk-UA"/>
              </w:rPr>
              <w:t>Разом загальний та спеціальний фонди</w:t>
            </w:r>
          </w:p>
        </w:tc>
      </w:tr>
      <w:tr w:rsidR="00737C4D" w:rsidRPr="00A45FDE" w:rsidTr="00A73882">
        <w:trPr>
          <w:trHeight w:val="1129"/>
        </w:trPr>
        <w:tc>
          <w:tcPr>
            <w:tcW w:w="706" w:type="dxa"/>
            <w:vMerge/>
            <w:tcBorders>
              <w:left w:val="single" w:sz="4" w:space="0" w:color="auto"/>
              <w:bottom w:val="single" w:sz="8" w:space="0" w:color="000000"/>
              <w:right w:val="single" w:sz="8" w:space="0" w:color="auto"/>
            </w:tcBorders>
          </w:tcPr>
          <w:p w:rsidR="00737C4D" w:rsidRPr="00A45FDE" w:rsidRDefault="00737C4D" w:rsidP="00A73882">
            <w:pPr>
              <w:rPr>
                <w:rFonts w:eastAsia="Times New Roman" w:cs="Times New Roman"/>
                <w:b/>
                <w:bCs/>
                <w:sz w:val="24"/>
                <w:szCs w:val="24"/>
                <w:lang w:eastAsia="uk-UA"/>
              </w:rPr>
            </w:pPr>
          </w:p>
        </w:tc>
        <w:tc>
          <w:tcPr>
            <w:tcW w:w="4696" w:type="dxa"/>
            <w:vMerge/>
            <w:tcBorders>
              <w:top w:val="single" w:sz="8" w:space="0" w:color="auto"/>
              <w:left w:val="single" w:sz="8" w:space="0" w:color="auto"/>
              <w:bottom w:val="single" w:sz="8" w:space="0" w:color="000000"/>
              <w:right w:val="single" w:sz="8" w:space="0" w:color="auto"/>
            </w:tcBorders>
            <w:vAlign w:val="center"/>
            <w:hideMark/>
          </w:tcPr>
          <w:p w:rsidR="00737C4D" w:rsidRPr="00A45FDE" w:rsidRDefault="00737C4D" w:rsidP="00A73882">
            <w:pPr>
              <w:rPr>
                <w:rFonts w:eastAsia="Times New Roman" w:cs="Times New Roman"/>
                <w:b/>
                <w:bCs/>
                <w:sz w:val="24"/>
                <w:szCs w:val="24"/>
                <w:lang w:eastAsia="uk-UA"/>
              </w:rPr>
            </w:pPr>
          </w:p>
        </w:tc>
        <w:tc>
          <w:tcPr>
            <w:tcW w:w="1559" w:type="dxa"/>
            <w:tcBorders>
              <w:top w:val="nil"/>
              <w:left w:val="single" w:sz="8" w:space="0" w:color="auto"/>
              <w:bottom w:val="single" w:sz="8" w:space="0" w:color="auto"/>
              <w:right w:val="single" w:sz="8" w:space="0" w:color="auto"/>
            </w:tcBorders>
            <w:shd w:val="clear" w:color="000000" w:fill="FFFFFF"/>
            <w:vAlign w:val="center"/>
            <w:hideMark/>
          </w:tcPr>
          <w:p w:rsidR="00737C4D" w:rsidRPr="00A45FDE" w:rsidRDefault="00737C4D" w:rsidP="00A73882">
            <w:pPr>
              <w:jc w:val="center"/>
              <w:rPr>
                <w:rFonts w:eastAsia="Times New Roman" w:cs="Times New Roman"/>
                <w:b/>
                <w:bCs/>
                <w:sz w:val="24"/>
                <w:szCs w:val="24"/>
                <w:lang w:eastAsia="uk-UA"/>
              </w:rPr>
            </w:pPr>
            <w:r w:rsidRPr="00A45FDE">
              <w:rPr>
                <w:rFonts w:eastAsia="Times New Roman" w:cs="Times New Roman"/>
                <w:b/>
                <w:bCs/>
                <w:sz w:val="24"/>
                <w:szCs w:val="24"/>
                <w:lang w:eastAsia="uk-UA"/>
              </w:rPr>
              <w:t xml:space="preserve">Затверджено на рік з урахуванням змін </w:t>
            </w:r>
          </w:p>
        </w:tc>
        <w:tc>
          <w:tcPr>
            <w:tcW w:w="1559" w:type="dxa"/>
            <w:tcBorders>
              <w:top w:val="nil"/>
              <w:left w:val="nil"/>
              <w:bottom w:val="single" w:sz="8" w:space="0" w:color="auto"/>
              <w:right w:val="single" w:sz="8" w:space="0" w:color="auto"/>
            </w:tcBorders>
            <w:shd w:val="clear" w:color="000000" w:fill="FFFFFF"/>
            <w:vAlign w:val="center"/>
            <w:hideMark/>
          </w:tcPr>
          <w:p w:rsidR="00737C4D" w:rsidRPr="00A45FDE" w:rsidRDefault="00737C4D" w:rsidP="00A73882">
            <w:pPr>
              <w:jc w:val="center"/>
              <w:rPr>
                <w:rFonts w:eastAsia="Times New Roman" w:cs="Times New Roman"/>
                <w:b/>
                <w:bCs/>
                <w:sz w:val="24"/>
                <w:szCs w:val="24"/>
                <w:lang w:eastAsia="uk-UA"/>
              </w:rPr>
            </w:pPr>
            <w:r w:rsidRPr="00A45FDE">
              <w:rPr>
                <w:rFonts w:eastAsia="Times New Roman" w:cs="Times New Roman"/>
                <w:b/>
                <w:bCs/>
                <w:sz w:val="24"/>
                <w:szCs w:val="24"/>
                <w:lang w:eastAsia="uk-UA"/>
              </w:rPr>
              <w:t xml:space="preserve">Використано </w:t>
            </w:r>
            <w:proofErr w:type="gramStart"/>
            <w:r w:rsidRPr="00A45FDE">
              <w:rPr>
                <w:rFonts w:eastAsia="Times New Roman" w:cs="Times New Roman"/>
                <w:b/>
                <w:bCs/>
                <w:sz w:val="24"/>
                <w:szCs w:val="24"/>
                <w:lang w:eastAsia="uk-UA"/>
              </w:rPr>
              <w:t>за  2019</w:t>
            </w:r>
            <w:proofErr w:type="gramEnd"/>
            <w:r w:rsidRPr="00A45FDE">
              <w:rPr>
                <w:rFonts w:eastAsia="Times New Roman" w:cs="Times New Roman"/>
                <w:b/>
                <w:bCs/>
                <w:sz w:val="24"/>
                <w:szCs w:val="24"/>
                <w:lang w:eastAsia="uk-UA"/>
              </w:rPr>
              <w:t xml:space="preserve"> рік</w:t>
            </w:r>
          </w:p>
        </w:tc>
        <w:tc>
          <w:tcPr>
            <w:tcW w:w="1560" w:type="dxa"/>
            <w:tcBorders>
              <w:top w:val="nil"/>
              <w:left w:val="nil"/>
              <w:bottom w:val="single" w:sz="8" w:space="0" w:color="auto"/>
              <w:right w:val="single" w:sz="8" w:space="0" w:color="auto"/>
            </w:tcBorders>
            <w:shd w:val="clear" w:color="000000" w:fill="FFFFFF"/>
            <w:vAlign w:val="center"/>
            <w:hideMark/>
          </w:tcPr>
          <w:p w:rsidR="00737C4D" w:rsidRPr="00A45FDE" w:rsidRDefault="00737C4D" w:rsidP="00A73882">
            <w:pPr>
              <w:jc w:val="center"/>
              <w:rPr>
                <w:rFonts w:eastAsia="Times New Roman" w:cs="Times New Roman"/>
                <w:b/>
                <w:bCs/>
                <w:sz w:val="24"/>
                <w:szCs w:val="24"/>
                <w:lang w:eastAsia="uk-UA"/>
              </w:rPr>
            </w:pPr>
            <w:r w:rsidRPr="00A45FDE">
              <w:rPr>
                <w:rFonts w:eastAsia="Times New Roman" w:cs="Times New Roman"/>
                <w:b/>
                <w:bCs/>
                <w:sz w:val="24"/>
                <w:szCs w:val="24"/>
                <w:lang w:eastAsia="uk-UA"/>
              </w:rPr>
              <w:t xml:space="preserve">Затверджено на рік з урахуванням змін </w:t>
            </w:r>
          </w:p>
        </w:tc>
        <w:tc>
          <w:tcPr>
            <w:tcW w:w="1636" w:type="dxa"/>
            <w:tcBorders>
              <w:top w:val="nil"/>
              <w:left w:val="nil"/>
              <w:bottom w:val="single" w:sz="8" w:space="0" w:color="auto"/>
              <w:right w:val="single" w:sz="8" w:space="0" w:color="auto"/>
            </w:tcBorders>
            <w:shd w:val="clear" w:color="000000" w:fill="FFFFFF"/>
            <w:vAlign w:val="center"/>
            <w:hideMark/>
          </w:tcPr>
          <w:p w:rsidR="00737C4D" w:rsidRPr="00A45FDE" w:rsidRDefault="00737C4D" w:rsidP="00A73882">
            <w:pPr>
              <w:jc w:val="center"/>
              <w:rPr>
                <w:rFonts w:eastAsia="Times New Roman" w:cs="Times New Roman"/>
                <w:b/>
                <w:bCs/>
                <w:sz w:val="24"/>
                <w:szCs w:val="24"/>
                <w:lang w:eastAsia="uk-UA"/>
              </w:rPr>
            </w:pPr>
            <w:r w:rsidRPr="00A45FDE">
              <w:rPr>
                <w:rFonts w:eastAsia="Times New Roman" w:cs="Times New Roman"/>
                <w:b/>
                <w:bCs/>
                <w:sz w:val="24"/>
                <w:szCs w:val="24"/>
                <w:lang w:eastAsia="uk-UA"/>
              </w:rPr>
              <w:t xml:space="preserve">Використано </w:t>
            </w:r>
            <w:proofErr w:type="gramStart"/>
            <w:r w:rsidRPr="00A45FDE">
              <w:rPr>
                <w:rFonts w:eastAsia="Times New Roman" w:cs="Times New Roman"/>
                <w:b/>
                <w:bCs/>
                <w:sz w:val="24"/>
                <w:szCs w:val="24"/>
                <w:lang w:eastAsia="uk-UA"/>
              </w:rPr>
              <w:t>за  2019</w:t>
            </w:r>
            <w:proofErr w:type="gramEnd"/>
            <w:r w:rsidRPr="00A45FDE">
              <w:rPr>
                <w:rFonts w:eastAsia="Times New Roman" w:cs="Times New Roman"/>
                <w:b/>
                <w:bCs/>
                <w:sz w:val="24"/>
                <w:szCs w:val="24"/>
                <w:lang w:eastAsia="uk-UA"/>
              </w:rPr>
              <w:t xml:space="preserve"> рік</w:t>
            </w:r>
          </w:p>
        </w:tc>
        <w:tc>
          <w:tcPr>
            <w:tcW w:w="1766" w:type="dxa"/>
            <w:tcBorders>
              <w:top w:val="nil"/>
              <w:left w:val="nil"/>
              <w:bottom w:val="single" w:sz="8" w:space="0" w:color="auto"/>
              <w:right w:val="single" w:sz="8" w:space="0" w:color="auto"/>
            </w:tcBorders>
            <w:shd w:val="clear" w:color="000000" w:fill="FFFFFF"/>
            <w:vAlign w:val="center"/>
            <w:hideMark/>
          </w:tcPr>
          <w:p w:rsidR="00737C4D" w:rsidRPr="00A45FDE" w:rsidRDefault="00737C4D" w:rsidP="00A73882">
            <w:pPr>
              <w:jc w:val="center"/>
              <w:rPr>
                <w:rFonts w:eastAsia="Times New Roman" w:cs="Times New Roman"/>
                <w:b/>
                <w:bCs/>
                <w:sz w:val="24"/>
                <w:szCs w:val="24"/>
                <w:lang w:eastAsia="uk-UA"/>
              </w:rPr>
            </w:pPr>
            <w:r w:rsidRPr="00A45FDE">
              <w:rPr>
                <w:rFonts w:eastAsia="Times New Roman" w:cs="Times New Roman"/>
                <w:b/>
                <w:bCs/>
                <w:sz w:val="24"/>
                <w:szCs w:val="24"/>
                <w:lang w:eastAsia="uk-UA"/>
              </w:rPr>
              <w:t xml:space="preserve">Затверджено на рік з урахуванням змін </w:t>
            </w:r>
          </w:p>
        </w:tc>
        <w:tc>
          <w:tcPr>
            <w:tcW w:w="1569" w:type="dxa"/>
            <w:tcBorders>
              <w:top w:val="nil"/>
              <w:left w:val="nil"/>
              <w:bottom w:val="single" w:sz="8" w:space="0" w:color="auto"/>
              <w:right w:val="single" w:sz="8" w:space="0" w:color="auto"/>
            </w:tcBorders>
            <w:shd w:val="clear" w:color="000000" w:fill="FFFFFF"/>
            <w:vAlign w:val="center"/>
            <w:hideMark/>
          </w:tcPr>
          <w:p w:rsidR="00737C4D" w:rsidRPr="00A45FDE" w:rsidRDefault="00737C4D" w:rsidP="00A73882">
            <w:pPr>
              <w:jc w:val="center"/>
              <w:rPr>
                <w:rFonts w:eastAsia="Times New Roman" w:cs="Times New Roman"/>
                <w:b/>
                <w:bCs/>
                <w:sz w:val="24"/>
                <w:szCs w:val="24"/>
                <w:lang w:eastAsia="uk-UA"/>
              </w:rPr>
            </w:pPr>
            <w:r w:rsidRPr="00A45FDE">
              <w:rPr>
                <w:rFonts w:eastAsia="Times New Roman" w:cs="Times New Roman"/>
                <w:b/>
                <w:bCs/>
                <w:sz w:val="24"/>
                <w:szCs w:val="24"/>
                <w:lang w:eastAsia="uk-UA"/>
              </w:rPr>
              <w:t xml:space="preserve">Використано </w:t>
            </w:r>
            <w:proofErr w:type="gramStart"/>
            <w:r w:rsidRPr="00A45FDE">
              <w:rPr>
                <w:rFonts w:eastAsia="Times New Roman" w:cs="Times New Roman"/>
                <w:b/>
                <w:bCs/>
                <w:sz w:val="24"/>
                <w:szCs w:val="24"/>
                <w:lang w:eastAsia="uk-UA"/>
              </w:rPr>
              <w:t>за  2019</w:t>
            </w:r>
            <w:proofErr w:type="gramEnd"/>
            <w:r w:rsidRPr="00A45FDE">
              <w:rPr>
                <w:rFonts w:eastAsia="Times New Roman" w:cs="Times New Roman"/>
                <w:b/>
                <w:bCs/>
                <w:sz w:val="24"/>
                <w:szCs w:val="24"/>
                <w:lang w:eastAsia="uk-UA"/>
              </w:rPr>
              <w:t xml:space="preserve"> рік</w:t>
            </w:r>
          </w:p>
        </w:tc>
      </w:tr>
      <w:tr w:rsidR="00737C4D" w:rsidRPr="00BC7D92" w:rsidTr="00A73882">
        <w:trPr>
          <w:trHeight w:val="1260"/>
        </w:trPr>
        <w:tc>
          <w:tcPr>
            <w:tcW w:w="706" w:type="dxa"/>
            <w:tcBorders>
              <w:top w:val="nil"/>
              <w:left w:val="single" w:sz="4" w:space="0" w:color="auto"/>
              <w:bottom w:val="nil"/>
              <w:right w:val="single" w:sz="4" w:space="0" w:color="auto"/>
            </w:tcBorders>
            <w:shd w:val="clear" w:color="000000" w:fill="FFFFFF"/>
          </w:tcPr>
          <w:p w:rsidR="00737C4D" w:rsidRPr="00BC7D92" w:rsidRDefault="00737C4D" w:rsidP="00A73882">
            <w:pPr>
              <w:rPr>
                <w:rFonts w:eastAsia="Times New Roman" w:cs="Times New Roman"/>
                <w:sz w:val="24"/>
                <w:szCs w:val="24"/>
                <w:lang w:eastAsia="uk-UA"/>
              </w:rPr>
            </w:pPr>
            <w:r>
              <w:rPr>
                <w:rFonts w:eastAsia="Times New Roman" w:cs="Times New Roman"/>
                <w:sz w:val="24"/>
                <w:szCs w:val="24"/>
                <w:lang w:eastAsia="uk-UA"/>
              </w:rPr>
              <w:t>1.</w:t>
            </w:r>
          </w:p>
        </w:tc>
        <w:tc>
          <w:tcPr>
            <w:tcW w:w="4696" w:type="dxa"/>
            <w:tcBorders>
              <w:top w:val="nil"/>
              <w:left w:val="nil"/>
              <w:bottom w:val="nil"/>
              <w:right w:val="single" w:sz="4" w:space="0" w:color="auto"/>
            </w:tcBorders>
            <w:shd w:val="clear" w:color="000000" w:fill="FFFFFF"/>
            <w:vAlign w:val="center"/>
            <w:hideMark/>
          </w:tcPr>
          <w:p w:rsidR="00737C4D" w:rsidRPr="00BC7D92" w:rsidRDefault="00737C4D" w:rsidP="00A73882">
            <w:pPr>
              <w:rPr>
                <w:rFonts w:eastAsia="Times New Roman" w:cs="Times New Roman"/>
                <w:lang w:eastAsia="uk-UA"/>
              </w:rPr>
            </w:pPr>
            <w:r w:rsidRPr="00BC7D92">
              <w:rPr>
                <w:rFonts w:eastAsia="Times New Roman" w:cs="Times New Roman"/>
                <w:lang w:eastAsia="uk-UA"/>
              </w:rPr>
              <w:t>Міська цільова програма організації та відзначення в місті Івано-Франківську загальнодержавних, міських свят, державних пам'ятних дат, релігійних та історичних подій на 2018-2020 роки</w:t>
            </w:r>
          </w:p>
        </w:tc>
        <w:tc>
          <w:tcPr>
            <w:tcW w:w="1559" w:type="dxa"/>
            <w:tcBorders>
              <w:top w:val="nil"/>
              <w:left w:val="nil"/>
              <w:bottom w:val="single" w:sz="4" w:space="0" w:color="auto"/>
              <w:right w:val="single" w:sz="4" w:space="0" w:color="auto"/>
            </w:tcBorders>
            <w:shd w:val="clear" w:color="000000" w:fill="FFFFFF"/>
            <w:noWrap/>
            <w:vAlign w:val="center"/>
            <w:hideMark/>
          </w:tcPr>
          <w:p w:rsidR="00737C4D" w:rsidRDefault="00737C4D" w:rsidP="00A73882">
            <w:pPr>
              <w:jc w:val="center"/>
              <w:rPr>
                <w:rFonts w:eastAsia="Times New Roman" w:cs="Times New Roman"/>
                <w:lang w:eastAsia="uk-UA"/>
              </w:rPr>
            </w:pPr>
            <w:r w:rsidRPr="00615AF4">
              <w:rPr>
                <w:rFonts w:eastAsia="Times New Roman" w:cs="Times New Roman"/>
                <w:lang w:eastAsia="uk-UA"/>
              </w:rPr>
              <w:t>1 508,3</w:t>
            </w:r>
          </w:p>
          <w:p w:rsidR="00737C4D" w:rsidRDefault="00737C4D" w:rsidP="00A73882">
            <w:pPr>
              <w:rPr>
                <w:rFonts w:eastAsia="Times New Roman" w:cs="Times New Roman"/>
                <w:lang w:eastAsia="uk-UA"/>
              </w:rPr>
            </w:pPr>
          </w:p>
          <w:p w:rsidR="00737C4D" w:rsidRPr="001412B4" w:rsidRDefault="00737C4D" w:rsidP="00A73882">
            <w:pPr>
              <w:rPr>
                <w:rFonts w:eastAsia="Times New Roman" w:cs="Times New Roman"/>
                <w:lang w:eastAsia="uk-UA"/>
              </w:rPr>
            </w:pPr>
          </w:p>
        </w:tc>
        <w:tc>
          <w:tcPr>
            <w:tcW w:w="1559" w:type="dxa"/>
            <w:tcBorders>
              <w:top w:val="nil"/>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1 056,9</w:t>
            </w:r>
          </w:p>
        </w:tc>
        <w:tc>
          <w:tcPr>
            <w:tcW w:w="1560" w:type="dxa"/>
            <w:tcBorders>
              <w:top w:val="nil"/>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 </w:t>
            </w:r>
          </w:p>
        </w:tc>
        <w:tc>
          <w:tcPr>
            <w:tcW w:w="1636" w:type="dxa"/>
            <w:tcBorders>
              <w:top w:val="nil"/>
              <w:left w:val="nil"/>
              <w:bottom w:val="nil"/>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 </w:t>
            </w:r>
          </w:p>
        </w:tc>
        <w:tc>
          <w:tcPr>
            <w:tcW w:w="1766" w:type="dxa"/>
            <w:tcBorders>
              <w:top w:val="nil"/>
              <w:left w:val="nil"/>
              <w:bottom w:val="nil"/>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1 508,3</w:t>
            </w:r>
          </w:p>
        </w:tc>
        <w:tc>
          <w:tcPr>
            <w:tcW w:w="1569" w:type="dxa"/>
            <w:tcBorders>
              <w:top w:val="nil"/>
              <w:left w:val="nil"/>
              <w:bottom w:val="single" w:sz="4" w:space="0" w:color="auto"/>
              <w:right w:val="single" w:sz="8"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1 056,9</w:t>
            </w:r>
          </w:p>
        </w:tc>
      </w:tr>
      <w:tr w:rsidR="00737C4D" w:rsidRPr="00BC7D92" w:rsidTr="00A73882">
        <w:trPr>
          <w:trHeight w:val="945"/>
        </w:trPr>
        <w:tc>
          <w:tcPr>
            <w:tcW w:w="706" w:type="dxa"/>
            <w:tcBorders>
              <w:top w:val="single" w:sz="4" w:space="0" w:color="auto"/>
              <w:left w:val="single" w:sz="4" w:space="0" w:color="auto"/>
              <w:bottom w:val="single" w:sz="4" w:space="0" w:color="auto"/>
              <w:right w:val="single" w:sz="4" w:space="0" w:color="auto"/>
            </w:tcBorders>
            <w:shd w:val="clear" w:color="000000" w:fill="FFFFFF"/>
          </w:tcPr>
          <w:p w:rsidR="00737C4D" w:rsidRPr="00BC7D92" w:rsidRDefault="00737C4D" w:rsidP="00A73882">
            <w:pPr>
              <w:rPr>
                <w:rFonts w:eastAsia="Times New Roman" w:cs="Times New Roman"/>
                <w:sz w:val="24"/>
                <w:szCs w:val="24"/>
                <w:lang w:eastAsia="uk-UA"/>
              </w:rPr>
            </w:pPr>
            <w:r>
              <w:rPr>
                <w:rFonts w:eastAsia="Times New Roman" w:cs="Times New Roman"/>
                <w:sz w:val="24"/>
                <w:szCs w:val="24"/>
                <w:lang w:eastAsia="uk-UA"/>
              </w:rPr>
              <w:t>2.</w:t>
            </w:r>
          </w:p>
        </w:tc>
        <w:tc>
          <w:tcPr>
            <w:tcW w:w="4696" w:type="dxa"/>
            <w:tcBorders>
              <w:top w:val="single" w:sz="4" w:space="0" w:color="auto"/>
              <w:left w:val="nil"/>
              <w:bottom w:val="single" w:sz="4" w:space="0" w:color="auto"/>
              <w:right w:val="single" w:sz="4" w:space="0" w:color="auto"/>
            </w:tcBorders>
            <w:shd w:val="clear" w:color="000000" w:fill="FFFFFF"/>
            <w:vAlign w:val="center"/>
            <w:hideMark/>
          </w:tcPr>
          <w:p w:rsidR="00737C4D" w:rsidRPr="00BC7D92" w:rsidRDefault="00737C4D" w:rsidP="00A73882">
            <w:pPr>
              <w:rPr>
                <w:rFonts w:eastAsia="Times New Roman" w:cs="Times New Roman"/>
                <w:lang w:eastAsia="uk-UA"/>
              </w:rPr>
            </w:pPr>
            <w:r w:rsidRPr="00BC7D92">
              <w:rPr>
                <w:rFonts w:eastAsia="Times New Roman" w:cs="Times New Roman"/>
                <w:lang w:eastAsia="uk-UA"/>
              </w:rPr>
              <w:t>Програма розвитку електронного урядування у виконавчому комітеті Івано-Франківської міської ради на 2018-2019 роки</w:t>
            </w:r>
          </w:p>
        </w:tc>
        <w:tc>
          <w:tcPr>
            <w:tcW w:w="1559" w:type="dxa"/>
            <w:tcBorders>
              <w:top w:val="nil"/>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54,3</w:t>
            </w:r>
          </w:p>
        </w:tc>
        <w:tc>
          <w:tcPr>
            <w:tcW w:w="1559" w:type="dxa"/>
            <w:tcBorders>
              <w:top w:val="nil"/>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 </w:t>
            </w:r>
          </w:p>
        </w:tc>
        <w:tc>
          <w:tcPr>
            <w:tcW w:w="1636" w:type="dxa"/>
            <w:tcBorders>
              <w:top w:val="single" w:sz="4" w:space="0" w:color="auto"/>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 </w:t>
            </w:r>
          </w:p>
        </w:tc>
        <w:tc>
          <w:tcPr>
            <w:tcW w:w="1766" w:type="dxa"/>
            <w:tcBorders>
              <w:top w:val="single" w:sz="4" w:space="0" w:color="auto"/>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54,3</w:t>
            </w:r>
          </w:p>
        </w:tc>
        <w:tc>
          <w:tcPr>
            <w:tcW w:w="1569" w:type="dxa"/>
            <w:tcBorders>
              <w:top w:val="nil"/>
              <w:left w:val="nil"/>
              <w:bottom w:val="single" w:sz="4" w:space="0" w:color="auto"/>
              <w:right w:val="single" w:sz="8"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0,0</w:t>
            </w:r>
          </w:p>
        </w:tc>
      </w:tr>
      <w:tr w:rsidR="00737C4D" w:rsidRPr="00BC7D92" w:rsidTr="00A73882">
        <w:trPr>
          <w:trHeight w:val="945"/>
        </w:trPr>
        <w:tc>
          <w:tcPr>
            <w:tcW w:w="706" w:type="dxa"/>
            <w:tcBorders>
              <w:top w:val="single" w:sz="4" w:space="0" w:color="auto"/>
              <w:left w:val="single" w:sz="4" w:space="0" w:color="auto"/>
              <w:bottom w:val="single" w:sz="4" w:space="0" w:color="auto"/>
              <w:right w:val="single" w:sz="4" w:space="0" w:color="auto"/>
            </w:tcBorders>
            <w:shd w:val="clear" w:color="000000" w:fill="FFFFFF"/>
          </w:tcPr>
          <w:p w:rsidR="00737C4D" w:rsidRPr="00BC7D92" w:rsidRDefault="00737C4D" w:rsidP="00A73882">
            <w:pPr>
              <w:rPr>
                <w:rFonts w:eastAsia="Times New Roman" w:cs="Times New Roman"/>
                <w:sz w:val="24"/>
                <w:szCs w:val="24"/>
                <w:lang w:eastAsia="uk-UA"/>
              </w:rPr>
            </w:pPr>
            <w:r>
              <w:rPr>
                <w:rFonts w:eastAsia="Times New Roman" w:cs="Times New Roman"/>
                <w:sz w:val="24"/>
                <w:szCs w:val="24"/>
                <w:lang w:eastAsia="uk-UA"/>
              </w:rPr>
              <w:t>3.</w:t>
            </w:r>
          </w:p>
        </w:tc>
        <w:tc>
          <w:tcPr>
            <w:tcW w:w="46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37C4D" w:rsidRPr="00BC7D92" w:rsidRDefault="00737C4D" w:rsidP="00A73882">
            <w:pPr>
              <w:rPr>
                <w:rFonts w:eastAsia="Times New Roman" w:cs="Times New Roman"/>
                <w:lang w:eastAsia="uk-UA"/>
              </w:rPr>
            </w:pPr>
            <w:r w:rsidRPr="00BC7D92">
              <w:rPr>
                <w:rFonts w:eastAsia="Times New Roman" w:cs="Times New Roman"/>
                <w:lang w:eastAsia="uk-UA"/>
              </w:rPr>
              <w:t>Програма розвитку системи надання адміністративних послуг в м. Івано-Франківську на 2019-2022 роки</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55,1</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49,0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 </w:t>
            </w:r>
          </w:p>
        </w:tc>
        <w:tc>
          <w:tcPr>
            <w:tcW w:w="1636" w:type="dxa"/>
            <w:tcBorders>
              <w:top w:val="single" w:sz="4" w:space="0" w:color="auto"/>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 </w:t>
            </w:r>
          </w:p>
        </w:tc>
        <w:tc>
          <w:tcPr>
            <w:tcW w:w="1766" w:type="dxa"/>
            <w:tcBorders>
              <w:top w:val="single" w:sz="4" w:space="0" w:color="auto"/>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55,1</w:t>
            </w:r>
          </w:p>
        </w:tc>
        <w:tc>
          <w:tcPr>
            <w:tcW w:w="1569" w:type="dxa"/>
            <w:tcBorders>
              <w:top w:val="single" w:sz="4" w:space="0" w:color="auto"/>
              <w:left w:val="nil"/>
              <w:bottom w:val="single" w:sz="4" w:space="0" w:color="auto"/>
              <w:right w:val="single" w:sz="8"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49,0</w:t>
            </w:r>
          </w:p>
        </w:tc>
      </w:tr>
      <w:tr w:rsidR="00737C4D" w:rsidRPr="00BC7D92" w:rsidTr="00A73882">
        <w:trPr>
          <w:trHeight w:val="630"/>
        </w:trPr>
        <w:tc>
          <w:tcPr>
            <w:tcW w:w="706" w:type="dxa"/>
            <w:tcBorders>
              <w:top w:val="single" w:sz="4" w:space="0" w:color="auto"/>
              <w:left w:val="single" w:sz="4" w:space="0" w:color="auto"/>
              <w:bottom w:val="single" w:sz="4" w:space="0" w:color="auto"/>
              <w:right w:val="single" w:sz="4" w:space="0" w:color="auto"/>
            </w:tcBorders>
            <w:shd w:val="clear" w:color="000000" w:fill="FFFFFF"/>
          </w:tcPr>
          <w:p w:rsidR="00737C4D" w:rsidRPr="00BC7D92" w:rsidRDefault="00737C4D" w:rsidP="00A73882">
            <w:pPr>
              <w:rPr>
                <w:rFonts w:eastAsia="Times New Roman" w:cs="Times New Roman"/>
                <w:sz w:val="24"/>
                <w:szCs w:val="24"/>
                <w:lang w:eastAsia="uk-UA"/>
              </w:rPr>
            </w:pPr>
            <w:r>
              <w:rPr>
                <w:rFonts w:eastAsia="Times New Roman" w:cs="Times New Roman"/>
                <w:sz w:val="24"/>
                <w:szCs w:val="24"/>
                <w:lang w:eastAsia="uk-UA"/>
              </w:rPr>
              <w:t>4.</w:t>
            </w:r>
          </w:p>
        </w:tc>
        <w:tc>
          <w:tcPr>
            <w:tcW w:w="4696" w:type="dxa"/>
            <w:tcBorders>
              <w:top w:val="single" w:sz="4" w:space="0" w:color="auto"/>
              <w:left w:val="nil"/>
              <w:bottom w:val="single" w:sz="4" w:space="0" w:color="auto"/>
              <w:right w:val="single" w:sz="4" w:space="0" w:color="auto"/>
            </w:tcBorders>
            <w:shd w:val="clear" w:color="000000" w:fill="FFFFFF"/>
            <w:vAlign w:val="center"/>
            <w:hideMark/>
          </w:tcPr>
          <w:p w:rsidR="00737C4D" w:rsidRPr="00BC7D92" w:rsidRDefault="00737C4D" w:rsidP="00A73882">
            <w:pPr>
              <w:rPr>
                <w:rFonts w:eastAsia="Times New Roman" w:cs="Times New Roman"/>
                <w:lang w:eastAsia="uk-UA"/>
              </w:rPr>
            </w:pPr>
            <w:r w:rsidRPr="00BC7D92">
              <w:rPr>
                <w:rFonts w:eastAsia="Times New Roman" w:cs="Times New Roman"/>
                <w:lang w:eastAsia="uk-UA"/>
              </w:rPr>
              <w:t>Програма зайнятості населення міста Івано-Франківська на 2018-2020 роки</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500,0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463,1</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 </w:t>
            </w:r>
          </w:p>
        </w:tc>
        <w:tc>
          <w:tcPr>
            <w:tcW w:w="1636" w:type="dxa"/>
            <w:tcBorders>
              <w:top w:val="single" w:sz="4" w:space="0" w:color="auto"/>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 </w:t>
            </w:r>
          </w:p>
        </w:tc>
        <w:tc>
          <w:tcPr>
            <w:tcW w:w="1766" w:type="dxa"/>
            <w:tcBorders>
              <w:top w:val="single" w:sz="4" w:space="0" w:color="auto"/>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500,0</w:t>
            </w:r>
          </w:p>
        </w:tc>
        <w:tc>
          <w:tcPr>
            <w:tcW w:w="1569" w:type="dxa"/>
            <w:tcBorders>
              <w:top w:val="single" w:sz="4" w:space="0" w:color="auto"/>
              <w:left w:val="nil"/>
              <w:bottom w:val="single" w:sz="4" w:space="0" w:color="auto"/>
              <w:right w:val="single" w:sz="8"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463,1</w:t>
            </w:r>
          </w:p>
        </w:tc>
      </w:tr>
      <w:tr w:rsidR="00737C4D" w:rsidRPr="00BC7D92" w:rsidTr="00A73882">
        <w:trPr>
          <w:trHeight w:val="945"/>
        </w:trPr>
        <w:tc>
          <w:tcPr>
            <w:tcW w:w="706" w:type="dxa"/>
            <w:tcBorders>
              <w:top w:val="single" w:sz="4" w:space="0" w:color="auto"/>
              <w:left w:val="single" w:sz="4" w:space="0" w:color="auto"/>
              <w:bottom w:val="single" w:sz="4" w:space="0" w:color="auto"/>
              <w:right w:val="single" w:sz="4" w:space="0" w:color="auto"/>
            </w:tcBorders>
            <w:shd w:val="clear" w:color="000000" w:fill="FFFFFF"/>
          </w:tcPr>
          <w:p w:rsidR="00737C4D" w:rsidRPr="00BC7D92" w:rsidRDefault="00737C4D" w:rsidP="00A73882">
            <w:pPr>
              <w:rPr>
                <w:rFonts w:eastAsia="Times New Roman" w:cs="Times New Roman"/>
                <w:sz w:val="24"/>
                <w:szCs w:val="24"/>
                <w:lang w:eastAsia="uk-UA"/>
              </w:rPr>
            </w:pPr>
            <w:r>
              <w:rPr>
                <w:rFonts w:eastAsia="Times New Roman" w:cs="Times New Roman"/>
                <w:sz w:val="24"/>
                <w:szCs w:val="24"/>
                <w:lang w:eastAsia="uk-UA"/>
              </w:rPr>
              <w:lastRenderedPageBreak/>
              <w:t>5.</w:t>
            </w:r>
          </w:p>
        </w:tc>
        <w:tc>
          <w:tcPr>
            <w:tcW w:w="4696" w:type="dxa"/>
            <w:tcBorders>
              <w:top w:val="single" w:sz="4" w:space="0" w:color="auto"/>
              <w:left w:val="nil"/>
              <w:bottom w:val="single" w:sz="4" w:space="0" w:color="auto"/>
              <w:right w:val="single" w:sz="4" w:space="0" w:color="auto"/>
            </w:tcBorders>
            <w:shd w:val="clear" w:color="000000" w:fill="FFFFFF"/>
            <w:vAlign w:val="center"/>
            <w:hideMark/>
          </w:tcPr>
          <w:p w:rsidR="00737C4D" w:rsidRPr="00BC7D92" w:rsidRDefault="00737C4D" w:rsidP="00A73882">
            <w:pPr>
              <w:rPr>
                <w:rFonts w:eastAsia="Times New Roman" w:cs="Times New Roman"/>
                <w:lang w:eastAsia="uk-UA"/>
              </w:rPr>
            </w:pPr>
            <w:r w:rsidRPr="00BC7D92">
              <w:rPr>
                <w:rFonts w:eastAsia="Times New Roman" w:cs="Times New Roman"/>
                <w:lang w:eastAsia="uk-UA"/>
              </w:rPr>
              <w:t>Міська цільова програма будівництва (придбання) доступного житла та молодіжного кредитування в місті Івано-Франківську на 2018-2022 роки</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889,3</w:t>
            </w:r>
          </w:p>
        </w:tc>
        <w:tc>
          <w:tcPr>
            <w:tcW w:w="1636" w:type="dxa"/>
            <w:tcBorders>
              <w:top w:val="single" w:sz="4" w:space="0" w:color="auto"/>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 </w:t>
            </w:r>
          </w:p>
        </w:tc>
        <w:tc>
          <w:tcPr>
            <w:tcW w:w="1766" w:type="dxa"/>
            <w:tcBorders>
              <w:top w:val="single" w:sz="4" w:space="0" w:color="auto"/>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889,3</w:t>
            </w:r>
          </w:p>
        </w:tc>
        <w:tc>
          <w:tcPr>
            <w:tcW w:w="1569" w:type="dxa"/>
            <w:tcBorders>
              <w:top w:val="single" w:sz="4" w:space="0" w:color="auto"/>
              <w:left w:val="nil"/>
              <w:bottom w:val="single" w:sz="4" w:space="0" w:color="auto"/>
              <w:right w:val="single" w:sz="8"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0,0</w:t>
            </w:r>
          </w:p>
        </w:tc>
      </w:tr>
      <w:tr w:rsidR="00737C4D" w:rsidRPr="00BC7D92" w:rsidTr="00A73882">
        <w:trPr>
          <w:trHeight w:val="1575"/>
        </w:trPr>
        <w:tc>
          <w:tcPr>
            <w:tcW w:w="706" w:type="dxa"/>
            <w:tcBorders>
              <w:top w:val="single" w:sz="4" w:space="0" w:color="auto"/>
              <w:left w:val="single" w:sz="4" w:space="0" w:color="auto"/>
              <w:bottom w:val="single" w:sz="4" w:space="0" w:color="auto"/>
              <w:right w:val="single" w:sz="4" w:space="0" w:color="auto"/>
            </w:tcBorders>
            <w:shd w:val="clear" w:color="000000" w:fill="FFFFFF"/>
          </w:tcPr>
          <w:p w:rsidR="00737C4D" w:rsidRPr="00BC7D92" w:rsidRDefault="00737C4D" w:rsidP="00A73882">
            <w:pPr>
              <w:rPr>
                <w:rFonts w:eastAsia="Times New Roman" w:cs="Times New Roman"/>
                <w:sz w:val="24"/>
                <w:szCs w:val="24"/>
                <w:lang w:eastAsia="uk-UA"/>
              </w:rPr>
            </w:pPr>
            <w:r>
              <w:rPr>
                <w:rFonts w:eastAsia="Times New Roman" w:cs="Times New Roman"/>
                <w:sz w:val="24"/>
                <w:szCs w:val="24"/>
                <w:lang w:eastAsia="uk-UA"/>
              </w:rPr>
              <w:t>6.</w:t>
            </w:r>
          </w:p>
        </w:tc>
        <w:tc>
          <w:tcPr>
            <w:tcW w:w="4696" w:type="dxa"/>
            <w:tcBorders>
              <w:top w:val="single" w:sz="4" w:space="0" w:color="auto"/>
              <w:left w:val="nil"/>
              <w:bottom w:val="single" w:sz="4" w:space="0" w:color="auto"/>
              <w:right w:val="single" w:sz="4" w:space="0" w:color="auto"/>
            </w:tcBorders>
            <w:shd w:val="clear" w:color="000000" w:fill="FFFFFF"/>
            <w:vAlign w:val="center"/>
            <w:hideMark/>
          </w:tcPr>
          <w:p w:rsidR="00737C4D" w:rsidRPr="00BC7D92" w:rsidRDefault="00737C4D" w:rsidP="00A73882">
            <w:pPr>
              <w:rPr>
                <w:rFonts w:eastAsia="Times New Roman" w:cs="Times New Roman"/>
                <w:lang w:eastAsia="uk-UA"/>
              </w:rPr>
            </w:pPr>
            <w:r w:rsidRPr="00BC7D92">
              <w:rPr>
                <w:rFonts w:eastAsia="Times New Roman" w:cs="Times New Roman"/>
                <w:lang w:eastAsia="uk-UA"/>
              </w:rPr>
              <w:t>Комплексна цільова соціальна програма розвитку цивільного захисту населення та території міста Івано-Франківська від надзвичайних ситуацій природного і техногенного характеру на 2016-2020 роки</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50,0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39,9</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 </w:t>
            </w:r>
          </w:p>
        </w:tc>
        <w:tc>
          <w:tcPr>
            <w:tcW w:w="1636" w:type="dxa"/>
            <w:tcBorders>
              <w:top w:val="single" w:sz="4" w:space="0" w:color="auto"/>
              <w:left w:val="nil"/>
              <w:bottom w:val="nil"/>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 </w:t>
            </w:r>
          </w:p>
        </w:tc>
        <w:tc>
          <w:tcPr>
            <w:tcW w:w="1766" w:type="dxa"/>
            <w:tcBorders>
              <w:top w:val="single" w:sz="4" w:space="0" w:color="auto"/>
              <w:left w:val="nil"/>
              <w:bottom w:val="nil"/>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50,0</w:t>
            </w:r>
          </w:p>
        </w:tc>
        <w:tc>
          <w:tcPr>
            <w:tcW w:w="1569" w:type="dxa"/>
            <w:tcBorders>
              <w:top w:val="single" w:sz="4" w:space="0" w:color="auto"/>
              <w:left w:val="nil"/>
              <w:bottom w:val="single" w:sz="4" w:space="0" w:color="auto"/>
              <w:right w:val="single" w:sz="8"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39,9</w:t>
            </w:r>
          </w:p>
        </w:tc>
      </w:tr>
      <w:tr w:rsidR="00737C4D" w:rsidRPr="00E65147" w:rsidTr="00A73882">
        <w:trPr>
          <w:trHeight w:val="1575"/>
        </w:trPr>
        <w:tc>
          <w:tcPr>
            <w:tcW w:w="706" w:type="dxa"/>
            <w:tcBorders>
              <w:top w:val="nil"/>
              <w:left w:val="single" w:sz="4" w:space="0" w:color="auto"/>
              <w:bottom w:val="single" w:sz="4" w:space="0" w:color="auto"/>
              <w:right w:val="single" w:sz="4" w:space="0" w:color="auto"/>
            </w:tcBorders>
            <w:shd w:val="clear" w:color="000000" w:fill="FFFFFF"/>
          </w:tcPr>
          <w:p w:rsidR="00737C4D" w:rsidRPr="00E65147" w:rsidRDefault="00737C4D" w:rsidP="00A73882">
            <w:pPr>
              <w:rPr>
                <w:rFonts w:eastAsia="Times New Roman" w:cs="Times New Roman"/>
                <w:lang w:eastAsia="uk-UA"/>
              </w:rPr>
            </w:pPr>
            <w:r w:rsidRPr="00E65147">
              <w:rPr>
                <w:rFonts w:eastAsia="Times New Roman" w:cs="Times New Roman"/>
                <w:lang w:eastAsia="uk-UA"/>
              </w:rPr>
              <w:t>7.</w:t>
            </w:r>
          </w:p>
        </w:tc>
        <w:tc>
          <w:tcPr>
            <w:tcW w:w="4696" w:type="dxa"/>
            <w:tcBorders>
              <w:top w:val="nil"/>
              <w:left w:val="nil"/>
              <w:bottom w:val="single" w:sz="4" w:space="0" w:color="auto"/>
              <w:right w:val="single" w:sz="4" w:space="0" w:color="auto"/>
            </w:tcBorders>
            <w:shd w:val="clear" w:color="000000" w:fill="FFFFFF"/>
            <w:vAlign w:val="center"/>
            <w:hideMark/>
          </w:tcPr>
          <w:p w:rsidR="00737C4D" w:rsidRPr="00BC7D92" w:rsidRDefault="00737C4D" w:rsidP="00A73882">
            <w:pPr>
              <w:rPr>
                <w:rFonts w:eastAsia="Times New Roman" w:cs="Times New Roman"/>
                <w:lang w:eastAsia="uk-UA"/>
              </w:rPr>
            </w:pPr>
            <w:r w:rsidRPr="00BC7D92">
              <w:rPr>
                <w:rFonts w:eastAsia="Times New Roman" w:cs="Times New Roman"/>
                <w:lang w:eastAsia="uk-UA"/>
              </w:rPr>
              <w:t>Комплексна програма запобігання виникненню надзвичайних ситуацій природного і техногенного характеру та підвищення рівня готовності аварійно-рятувальної служби м.Івано-Франківська до дій за призначенням на 2016 – 2020 роки</w:t>
            </w:r>
          </w:p>
        </w:tc>
        <w:tc>
          <w:tcPr>
            <w:tcW w:w="1559" w:type="dxa"/>
            <w:tcBorders>
              <w:top w:val="nil"/>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139,5</w:t>
            </w:r>
          </w:p>
        </w:tc>
        <w:tc>
          <w:tcPr>
            <w:tcW w:w="1559" w:type="dxa"/>
            <w:tcBorders>
              <w:top w:val="nil"/>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138,3</w:t>
            </w:r>
          </w:p>
        </w:tc>
        <w:tc>
          <w:tcPr>
            <w:tcW w:w="1560" w:type="dxa"/>
            <w:tcBorders>
              <w:top w:val="nil"/>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149,0</w:t>
            </w:r>
          </w:p>
        </w:tc>
        <w:tc>
          <w:tcPr>
            <w:tcW w:w="1636" w:type="dxa"/>
            <w:tcBorders>
              <w:top w:val="single" w:sz="4" w:space="0" w:color="auto"/>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149,0</w:t>
            </w:r>
          </w:p>
        </w:tc>
        <w:tc>
          <w:tcPr>
            <w:tcW w:w="1766" w:type="dxa"/>
            <w:tcBorders>
              <w:top w:val="single" w:sz="4" w:space="0" w:color="auto"/>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288,5</w:t>
            </w:r>
          </w:p>
        </w:tc>
        <w:tc>
          <w:tcPr>
            <w:tcW w:w="1569" w:type="dxa"/>
            <w:tcBorders>
              <w:top w:val="nil"/>
              <w:left w:val="nil"/>
              <w:bottom w:val="single" w:sz="4" w:space="0" w:color="auto"/>
              <w:right w:val="single" w:sz="8"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287,3</w:t>
            </w:r>
          </w:p>
        </w:tc>
      </w:tr>
      <w:tr w:rsidR="00737C4D" w:rsidRPr="00E65147" w:rsidTr="00A73882">
        <w:trPr>
          <w:trHeight w:val="2205"/>
        </w:trPr>
        <w:tc>
          <w:tcPr>
            <w:tcW w:w="706" w:type="dxa"/>
            <w:tcBorders>
              <w:top w:val="nil"/>
              <w:left w:val="single" w:sz="4" w:space="0" w:color="auto"/>
              <w:bottom w:val="single" w:sz="4" w:space="0" w:color="auto"/>
              <w:right w:val="single" w:sz="4" w:space="0" w:color="auto"/>
            </w:tcBorders>
            <w:shd w:val="clear" w:color="000000" w:fill="FFFFFF"/>
          </w:tcPr>
          <w:p w:rsidR="00737C4D" w:rsidRPr="00E65147" w:rsidRDefault="00737C4D" w:rsidP="00A73882">
            <w:pPr>
              <w:rPr>
                <w:rFonts w:eastAsia="Times New Roman" w:cs="Times New Roman"/>
                <w:lang w:eastAsia="uk-UA"/>
              </w:rPr>
            </w:pPr>
            <w:r w:rsidRPr="00E65147">
              <w:rPr>
                <w:rFonts w:eastAsia="Times New Roman" w:cs="Times New Roman"/>
                <w:lang w:eastAsia="uk-UA"/>
              </w:rPr>
              <w:t>8.</w:t>
            </w:r>
          </w:p>
        </w:tc>
        <w:tc>
          <w:tcPr>
            <w:tcW w:w="4696" w:type="dxa"/>
            <w:tcBorders>
              <w:top w:val="nil"/>
              <w:left w:val="nil"/>
              <w:bottom w:val="single" w:sz="4" w:space="0" w:color="auto"/>
              <w:right w:val="single" w:sz="4" w:space="0" w:color="auto"/>
            </w:tcBorders>
            <w:shd w:val="clear" w:color="000000" w:fill="FFFFFF"/>
            <w:vAlign w:val="center"/>
            <w:hideMark/>
          </w:tcPr>
          <w:p w:rsidR="00737C4D" w:rsidRPr="00BC7D92" w:rsidRDefault="00737C4D" w:rsidP="00A73882">
            <w:pPr>
              <w:rPr>
                <w:rFonts w:eastAsia="Times New Roman" w:cs="Times New Roman"/>
                <w:lang w:eastAsia="uk-UA"/>
              </w:rPr>
            </w:pPr>
            <w:r w:rsidRPr="00BC7D92">
              <w:rPr>
                <w:rFonts w:eastAsia="Times New Roman" w:cs="Times New Roman"/>
                <w:lang w:eastAsia="uk-UA"/>
              </w:rPr>
              <w:t xml:space="preserve">Комплексна програма запобігання виникненню надзвичайних ситуацій природного і техногенного характеру та підвищення рівня готовності аварійно-рятувальної служби м.Івано-Франківська до дій за призначенням на 2016 – 2020 </w:t>
            </w:r>
            <w:proofErr w:type="gramStart"/>
            <w:r w:rsidRPr="00BC7D92">
              <w:rPr>
                <w:rFonts w:eastAsia="Times New Roman" w:cs="Times New Roman"/>
                <w:lang w:eastAsia="uk-UA"/>
              </w:rPr>
              <w:t>роки  (</w:t>
            </w:r>
            <w:proofErr w:type="gramEnd"/>
            <w:r w:rsidRPr="00BC7D92">
              <w:rPr>
                <w:rFonts w:eastAsia="Times New Roman" w:cs="Times New Roman"/>
                <w:lang w:eastAsia="uk-UA"/>
              </w:rPr>
              <w:t>підпрограма забезпечення функціонування діючих підрозділів місцевої пожежної охорони)</w:t>
            </w:r>
          </w:p>
        </w:tc>
        <w:tc>
          <w:tcPr>
            <w:tcW w:w="1559" w:type="dxa"/>
            <w:tcBorders>
              <w:top w:val="nil"/>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3 350,0</w:t>
            </w:r>
          </w:p>
        </w:tc>
        <w:tc>
          <w:tcPr>
            <w:tcW w:w="1559" w:type="dxa"/>
            <w:tcBorders>
              <w:top w:val="nil"/>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3 059,4</w:t>
            </w:r>
          </w:p>
        </w:tc>
        <w:tc>
          <w:tcPr>
            <w:tcW w:w="1560" w:type="dxa"/>
            <w:tcBorders>
              <w:top w:val="nil"/>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24,7</w:t>
            </w:r>
          </w:p>
        </w:tc>
        <w:tc>
          <w:tcPr>
            <w:tcW w:w="1636" w:type="dxa"/>
            <w:tcBorders>
              <w:top w:val="single" w:sz="4" w:space="0" w:color="auto"/>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24,7</w:t>
            </w:r>
          </w:p>
        </w:tc>
        <w:tc>
          <w:tcPr>
            <w:tcW w:w="1766" w:type="dxa"/>
            <w:tcBorders>
              <w:top w:val="single" w:sz="4" w:space="0" w:color="auto"/>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3 374,7</w:t>
            </w:r>
          </w:p>
        </w:tc>
        <w:tc>
          <w:tcPr>
            <w:tcW w:w="1569" w:type="dxa"/>
            <w:tcBorders>
              <w:top w:val="nil"/>
              <w:left w:val="nil"/>
              <w:bottom w:val="single" w:sz="4" w:space="0" w:color="auto"/>
              <w:right w:val="single" w:sz="8"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3 084,1</w:t>
            </w:r>
          </w:p>
        </w:tc>
      </w:tr>
      <w:tr w:rsidR="00737C4D" w:rsidRPr="00E65147" w:rsidTr="00A73882">
        <w:trPr>
          <w:trHeight w:val="1260"/>
        </w:trPr>
        <w:tc>
          <w:tcPr>
            <w:tcW w:w="706" w:type="dxa"/>
            <w:tcBorders>
              <w:top w:val="single" w:sz="4" w:space="0" w:color="auto"/>
              <w:left w:val="single" w:sz="4" w:space="0" w:color="auto"/>
              <w:bottom w:val="single" w:sz="4" w:space="0" w:color="auto"/>
              <w:right w:val="single" w:sz="4" w:space="0" w:color="auto"/>
            </w:tcBorders>
            <w:shd w:val="clear" w:color="000000" w:fill="FFFFFF"/>
          </w:tcPr>
          <w:p w:rsidR="00737C4D" w:rsidRPr="00E65147" w:rsidRDefault="00737C4D" w:rsidP="00A73882">
            <w:pPr>
              <w:rPr>
                <w:rFonts w:eastAsia="Times New Roman" w:cs="Times New Roman"/>
                <w:lang w:eastAsia="uk-UA"/>
              </w:rPr>
            </w:pPr>
            <w:r w:rsidRPr="00E65147">
              <w:rPr>
                <w:rFonts w:eastAsia="Times New Roman" w:cs="Times New Roman"/>
                <w:lang w:eastAsia="uk-UA"/>
              </w:rPr>
              <w:lastRenderedPageBreak/>
              <w:t>9.</w:t>
            </w:r>
          </w:p>
        </w:tc>
        <w:tc>
          <w:tcPr>
            <w:tcW w:w="4696" w:type="dxa"/>
            <w:tcBorders>
              <w:top w:val="single" w:sz="4" w:space="0" w:color="auto"/>
              <w:left w:val="nil"/>
              <w:bottom w:val="single" w:sz="4" w:space="0" w:color="auto"/>
              <w:right w:val="single" w:sz="4" w:space="0" w:color="auto"/>
            </w:tcBorders>
            <w:shd w:val="clear" w:color="000000" w:fill="FFFFFF"/>
            <w:vAlign w:val="center"/>
            <w:hideMark/>
          </w:tcPr>
          <w:p w:rsidR="00737C4D" w:rsidRPr="00BC7D92" w:rsidRDefault="00737C4D" w:rsidP="00A73882">
            <w:pPr>
              <w:rPr>
                <w:rFonts w:eastAsia="Times New Roman" w:cs="Times New Roman"/>
                <w:lang w:eastAsia="uk-UA"/>
              </w:rPr>
            </w:pPr>
            <w:r w:rsidRPr="00BC7D92">
              <w:rPr>
                <w:rFonts w:eastAsia="Times New Roman" w:cs="Times New Roman"/>
                <w:lang w:eastAsia="uk-UA"/>
              </w:rPr>
              <w:t>Комплексна програма профілактики злочинності в місті Івано-Франківську до 2020 року (Громадське формування з охорони громадського порядку міста Івано-</w:t>
            </w:r>
            <w:proofErr w:type="gramStart"/>
            <w:r w:rsidRPr="00BC7D92">
              <w:rPr>
                <w:rFonts w:eastAsia="Times New Roman" w:cs="Times New Roman"/>
                <w:lang w:eastAsia="uk-UA"/>
              </w:rPr>
              <w:t>Франківська  "</w:t>
            </w:r>
            <w:proofErr w:type="gramEnd"/>
            <w:r w:rsidRPr="00BC7D92">
              <w:rPr>
                <w:rFonts w:eastAsia="Times New Roman" w:cs="Times New Roman"/>
                <w:lang w:eastAsia="uk-UA"/>
              </w:rPr>
              <w:t>Штаб")</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528,4</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528,4</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 </w:t>
            </w:r>
          </w:p>
        </w:tc>
        <w:tc>
          <w:tcPr>
            <w:tcW w:w="1636" w:type="dxa"/>
            <w:tcBorders>
              <w:top w:val="single" w:sz="4" w:space="0" w:color="auto"/>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 </w:t>
            </w:r>
          </w:p>
        </w:tc>
        <w:tc>
          <w:tcPr>
            <w:tcW w:w="1766" w:type="dxa"/>
            <w:tcBorders>
              <w:top w:val="single" w:sz="4" w:space="0" w:color="auto"/>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528,4</w:t>
            </w:r>
          </w:p>
        </w:tc>
        <w:tc>
          <w:tcPr>
            <w:tcW w:w="1569" w:type="dxa"/>
            <w:tcBorders>
              <w:top w:val="single" w:sz="4" w:space="0" w:color="auto"/>
              <w:left w:val="nil"/>
              <w:bottom w:val="single" w:sz="4" w:space="0" w:color="auto"/>
              <w:right w:val="single" w:sz="8"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528,4</w:t>
            </w:r>
          </w:p>
        </w:tc>
      </w:tr>
      <w:tr w:rsidR="00737C4D" w:rsidRPr="00E65147" w:rsidTr="00A73882">
        <w:trPr>
          <w:trHeight w:val="1540"/>
        </w:trPr>
        <w:tc>
          <w:tcPr>
            <w:tcW w:w="706" w:type="dxa"/>
            <w:tcBorders>
              <w:top w:val="single" w:sz="4" w:space="0" w:color="auto"/>
              <w:left w:val="single" w:sz="4" w:space="0" w:color="auto"/>
              <w:right w:val="single" w:sz="4" w:space="0" w:color="auto"/>
            </w:tcBorders>
            <w:shd w:val="clear" w:color="000000" w:fill="FFFFFF"/>
          </w:tcPr>
          <w:p w:rsidR="00737C4D" w:rsidRPr="00E65147" w:rsidRDefault="00737C4D" w:rsidP="00A73882">
            <w:pPr>
              <w:jc w:val="center"/>
              <w:rPr>
                <w:rFonts w:eastAsia="Times New Roman" w:cs="Times New Roman"/>
                <w:lang w:eastAsia="uk-UA"/>
              </w:rPr>
            </w:pPr>
            <w:r w:rsidRPr="00E65147">
              <w:rPr>
                <w:rFonts w:eastAsia="Times New Roman" w:cs="Times New Roman"/>
                <w:lang w:eastAsia="uk-UA"/>
              </w:rPr>
              <w:t>10.</w:t>
            </w:r>
          </w:p>
        </w:tc>
        <w:tc>
          <w:tcPr>
            <w:tcW w:w="4696" w:type="dxa"/>
            <w:tcBorders>
              <w:top w:val="single" w:sz="4" w:space="0" w:color="auto"/>
              <w:left w:val="single" w:sz="4" w:space="0" w:color="auto"/>
              <w:right w:val="single" w:sz="4" w:space="0" w:color="auto"/>
            </w:tcBorders>
            <w:shd w:val="clear" w:color="000000" w:fill="FFFFFF"/>
            <w:vAlign w:val="center"/>
            <w:hideMark/>
          </w:tcPr>
          <w:p w:rsidR="00737C4D" w:rsidRPr="00BC7D92" w:rsidRDefault="00737C4D" w:rsidP="00A45FDE">
            <w:pPr>
              <w:rPr>
                <w:rFonts w:eastAsia="Times New Roman" w:cs="Times New Roman"/>
                <w:lang w:eastAsia="uk-UA"/>
              </w:rPr>
            </w:pPr>
            <w:r w:rsidRPr="00BC7D92">
              <w:rPr>
                <w:rFonts w:eastAsia="Times New Roman" w:cs="Times New Roman"/>
                <w:lang w:eastAsia="uk-UA"/>
              </w:rPr>
              <w:t>Довгострокова програма фінансування мобілізаційних заходів та оборонної роботи Івано-Франківської міської ради на 2019-2023 роки</w:t>
            </w:r>
          </w:p>
        </w:tc>
        <w:tc>
          <w:tcPr>
            <w:tcW w:w="1559" w:type="dxa"/>
            <w:tcBorders>
              <w:top w:val="single" w:sz="4" w:space="0" w:color="auto"/>
              <w:left w:val="nil"/>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575,0</w:t>
            </w:r>
          </w:p>
        </w:tc>
        <w:tc>
          <w:tcPr>
            <w:tcW w:w="1559" w:type="dxa"/>
            <w:tcBorders>
              <w:top w:val="single" w:sz="4" w:space="0" w:color="auto"/>
              <w:left w:val="nil"/>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527,5</w:t>
            </w:r>
          </w:p>
        </w:tc>
        <w:tc>
          <w:tcPr>
            <w:tcW w:w="1560" w:type="dxa"/>
            <w:tcBorders>
              <w:top w:val="single" w:sz="4" w:space="0" w:color="auto"/>
              <w:left w:val="nil"/>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39,0</w:t>
            </w:r>
          </w:p>
        </w:tc>
        <w:tc>
          <w:tcPr>
            <w:tcW w:w="1636" w:type="dxa"/>
            <w:tcBorders>
              <w:top w:val="single" w:sz="4" w:space="0" w:color="auto"/>
              <w:left w:val="nil"/>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39,0</w:t>
            </w:r>
          </w:p>
        </w:tc>
        <w:tc>
          <w:tcPr>
            <w:tcW w:w="1766" w:type="dxa"/>
            <w:tcBorders>
              <w:top w:val="single" w:sz="4" w:space="0" w:color="auto"/>
              <w:left w:val="nil"/>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614,0</w:t>
            </w:r>
          </w:p>
        </w:tc>
        <w:tc>
          <w:tcPr>
            <w:tcW w:w="1569" w:type="dxa"/>
            <w:tcBorders>
              <w:top w:val="single" w:sz="4" w:space="0" w:color="auto"/>
              <w:left w:val="nil"/>
              <w:right w:val="single" w:sz="8"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566,2</w:t>
            </w:r>
          </w:p>
        </w:tc>
      </w:tr>
      <w:tr w:rsidR="00737C4D" w:rsidRPr="00E65147" w:rsidTr="00A73882">
        <w:trPr>
          <w:trHeight w:val="630"/>
        </w:trPr>
        <w:tc>
          <w:tcPr>
            <w:tcW w:w="706" w:type="dxa"/>
            <w:tcBorders>
              <w:top w:val="single" w:sz="4" w:space="0" w:color="auto"/>
              <w:left w:val="single" w:sz="4" w:space="0" w:color="auto"/>
              <w:bottom w:val="single" w:sz="4" w:space="0" w:color="auto"/>
              <w:right w:val="single" w:sz="4" w:space="0" w:color="auto"/>
            </w:tcBorders>
            <w:shd w:val="clear" w:color="000000" w:fill="FFFFFF"/>
          </w:tcPr>
          <w:p w:rsidR="00737C4D" w:rsidRPr="00E65147" w:rsidRDefault="00737C4D" w:rsidP="00A73882">
            <w:pPr>
              <w:rPr>
                <w:rFonts w:eastAsia="Times New Roman" w:cs="Times New Roman"/>
                <w:lang w:eastAsia="uk-UA"/>
              </w:rPr>
            </w:pPr>
            <w:r w:rsidRPr="00E65147">
              <w:rPr>
                <w:rFonts w:eastAsia="Times New Roman" w:cs="Times New Roman"/>
                <w:lang w:eastAsia="uk-UA"/>
              </w:rPr>
              <w:t>11.</w:t>
            </w:r>
          </w:p>
        </w:tc>
        <w:tc>
          <w:tcPr>
            <w:tcW w:w="4696" w:type="dxa"/>
            <w:tcBorders>
              <w:top w:val="single" w:sz="4" w:space="0" w:color="auto"/>
              <w:left w:val="nil"/>
              <w:bottom w:val="single" w:sz="4" w:space="0" w:color="auto"/>
              <w:right w:val="single" w:sz="4" w:space="0" w:color="auto"/>
            </w:tcBorders>
            <w:shd w:val="clear" w:color="000000" w:fill="FFFFFF"/>
            <w:vAlign w:val="center"/>
            <w:hideMark/>
          </w:tcPr>
          <w:p w:rsidR="00737C4D" w:rsidRPr="00BC7D92" w:rsidRDefault="00737C4D" w:rsidP="00A73882">
            <w:pPr>
              <w:rPr>
                <w:rFonts w:eastAsia="Times New Roman" w:cs="Times New Roman"/>
                <w:lang w:eastAsia="uk-UA"/>
              </w:rPr>
            </w:pPr>
            <w:r w:rsidRPr="00BC7D92">
              <w:rPr>
                <w:rFonts w:eastAsia="Times New Roman" w:cs="Times New Roman"/>
                <w:lang w:eastAsia="uk-UA"/>
              </w:rPr>
              <w:t>Комплексна програма профілактики злочинності в місті Івано-Франківську до 2020 року</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216,9</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214,6</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76,1</w:t>
            </w:r>
          </w:p>
        </w:tc>
        <w:tc>
          <w:tcPr>
            <w:tcW w:w="1636" w:type="dxa"/>
            <w:tcBorders>
              <w:top w:val="single" w:sz="4" w:space="0" w:color="auto"/>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76,0</w:t>
            </w:r>
          </w:p>
        </w:tc>
        <w:tc>
          <w:tcPr>
            <w:tcW w:w="1766" w:type="dxa"/>
            <w:tcBorders>
              <w:top w:val="single" w:sz="4" w:space="0" w:color="auto"/>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293,0</w:t>
            </w:r>
          </w:p>
        </w:tc>
        <w:tc>
          <w:tcPr>
            <w:tcW w:w="1569" w:type="dxa"/>
            <w:tcBorders>
              <w:top w:val="single" w:sz="4" w:space="0" w:color="auto"/>
              <w:left w:val="nil"/>
              <w:bottom w:val="single" w:sz="4" w:space="0" w:color="auto"/>
              <w:right w:val="single" w:sz="8"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290,6</w:t>
            </w:r>
          </w:p>
        </w:tc>
      </w:tr>
      <w:tr w:rsidR="00737C4D" w:rsidRPr="00E65147" w:rsidTr="00A73882">
        <w:trPr>
          <w:trHeight w:val="805"/>
        </w:trPr>
        <w:tc>
          <w:tcPr>
            <w:tcW w:w="706" w:type="dxa"/>
            <w:tcBorders>
              <w:top w:val="single" w:sz="4" w:space="0" w:color="auto"/>
              <w:left w:val="single" w:sz="4" w:space="0" w:color="auto"/>
              <w:bottom w:val="single" w:sz="4" w:space="0" w:color="auto"/>
              <w:right w:val="single" w:sz="4" w:space="0" w:color="auto"/>
            </w:tcBorders>
            <w:shd w:val="clear" w:color="000000" w:fill="FFFFFF"/>
            <w:vAlign w:val="center"/>
          </w:tcPr>
          <w:p w:rsidR="00737C4D" w:rsidRPr="00E65147" w:rsidRDefault="00737C4D" w:rsidP="00A73882">
            <w:pPr>
              <w:jc w:val="center"/>
              <w:rPr>
                <w:rFonts w:eastAsia="Times New Roman" w:cs="Times New Roman"/>
                <w:lang w:eastAsia="uk-UA"/>
              </w:rPr>
            </w:pPr>
            <w:r w:rsidRPr="00E65147">
              <w:rPr>
                <w:rFonts w:eastAsia="Times New Roman" w:cs="Times New Roman"/>
                <w:lang w:eastAsia="uk-UA"/>
              </w:rPr>
              <w:t>1</w:t>
            </w:r>
            <w:r>
              <w:rPr>
                <w:rFonts w:eastAsia="Times New Roman" w:cs="Times New Roman"/>
                <w:lang w:eastAsia="uk-UA"/>
              </w:rPr>
              <w:t>2</w:t>
            </w:r>
            <w:r w:rsidRPr="00E65147">
              <w:rPr>
                <w:rFonts w:eastAsia="Times New Roman" w:cs="Times New Roman"/>
                <w:lang w:eastAsia="uk-UA"/>
              </w:rPr>
              <w:t>.</w:t>
            </w:r>
          </w:p>
        </w:tc>
        <w:tc>
          <w:tcPr>
            <w:tcW w:w="46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37C4D" w:rsidRPr="00BC7D92" w:rsidRDefault="00737C4D" w:rsidP="00A73882">
            <w:pPr>
              <w:rPr>
                <w:rFonts w:eastAsia="Times New Roman" w:cs="Times New Roman"/>
                <w:lang w:eastAsia="uk-UA"/>
              </w:rPr>
            </w:pPr>
            <w:r w:rsidRPr="00BC7D92">
              <w:rPr>
                <w:rFonts w:eastAsia="Times New Roman" w:cs="Times New Roman"/>
                <w:lang w:eastAsia="uk-UA"/>
              </w:rPr>
              <w:t>Програма "Освіта міста Івано-Франківська 2016-2020 роки"</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12 506,0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5 123,5</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19797,2</w:t>
            </w:r>
          </w:p>
        </w:tc>
        <w:tc>
          <w:tcPr>
            <w:tcW w:w="1636" w:type="dxa"/>
            <w:tcBorders>
              <w:top w:val="single" w:sz="4" w:space="0" w:color="auto"/>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8524,8</w:t>
            </w:r>
          </w:p>
        </w:tc>
        <w:tc>
          <w:tcPr>
            <w:tcW w:w="1766" w:type="dxa"/>
            <w:tcBorders>
              <w:top w:val="single" w:sz="4" w:space="0" w:color="auto"/>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32303,2</w:t>
            </w:r>
          </w:p>
        </w:tc>
        <w:tc>
          <w:tcPr>
            <w:tcW w:w="1569" w:type="dxa"/>
            <w:tcBorders>
              <w:top w:val="single" w:sz="4" w:space="0" w:color="auto"/>
              <w:left w:val="nil"/>
              <w:bottom w:val="single" w:sz="4" w:space="0" w:color="auto"/>
              <w:right w:val="single" w:sz="8"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13648,3</w:t>
            </w:r>
          </w:p>
        </w:tc>
      </w:tr>
      <w:tr w:rsidR="00737C4D" w:rsidRPr="000B0FD5" w:rsidTr="00A73882">
        <w:trPr>
          <w:trHeight w:val="945"/>
        </w:trPr>
        <w:tc>
          <w:tcPr>
            <w:tcW w:w="706" w:type="dxa"/>
            <w:tcBorders>
              <w:top w:val="single" w:sz="4" w:space="0" w:color="auto"/>
              <w:left w:val="single" w:sz="4" w:space="0" w:color="auto"/>
              <w:bottom w:val="single" w:sz="4" w:space="0" w:color="auto"/>
              <w:right w:val="single" w:sz="4" w:space="0" w:color="auto"/>
            </w:tcBorders>
            <w:shd w:val="clear" w:color="000000" w:fill="FFFFFF"/>
          </w:tcPr>
          <w:p w:rsidR="00737C4D" w:rsidRPr="000B0FD5" w:rsidRDefault="00737C4D" w:rsidP="00A73882">
            <w:pPr>
              <w:rPr>
                <w:rFonts w:eastAsia="Times New Roman" w:cs="Times New Roman"/>
                <w:lang w:eastAsia="uk-UA"/>
              </w:rPr>
            </w:pPr>
            <w:r w:rsidRPr="000B0FD5">
              <w:rPr>
                <w:rFonts w:eastAsia="Times New Roman" w:cs="Times New Roman"/>
                <w:lang w:eastAsia="uk-UA"/>
              </w:rPr>
              <w:t>13.</w:t>
            </w:r>
          </w:p>
        </w:tc>
        <w:tc>
          <w:tcPr>
            <w:tcW w:w="4696" w:type="dxa"/>
            <w:tcBorders>
              <w:top w:val="single" w:sz="4" w:space="0" w:color="auto"/>
              <w:left w:val="nil"/>
              <w:bottom w:val="single" w:sz="4" w:space="0" w:color="auto"/>
              <w:right w:val="single" w:sz="4" w:space="0" w:color="auto"/>
            </w:tcBorders>
            <w:shd w:val="clear" w:color="000000" w:fill="FFFFFF"/>
            <w:vAlign w:val="center"/>
            <w:hideMark/>
          </w:tcPr>
          <w:p w:rsidR="00737C4D" w:rsidRPr="000B0FD5" w:rsidRDefault="00737C4D" w:rsidP="00A73882">
            <w:pPr>
              <w:rPr>
                <w:rFonts w:eastAsia="Times New Roman" w:cs="Times New Roman"/>
                <w:lang w:eastAsia="uk-UA"/>
              </w:rPr>
            </w:pPr>
            <w:r w:rsidRPr="000B0FD5">
              <w:rPr>
                <w:rFonts w:eastAsia="Times New Roman" w:cs="Times New Roman"/>
                <w:lang w:eastAsia="uk-UA"/>
              </w:rPr>
              <w:t>Програма охорони навколишнього природного середовища міста Івано-Франківська на 2016-2020 роки</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14,0</w:t>
            </w:r>
          </w:p>
        </w:tc>
        <w:tc>
          <w:tcPr>
            <w:tcW w:w="1636" w:type="dxa"/>
            <w:tcBorders>
              <w:top w:val="single" w:sz="4" w:space="0" w:color="auto"/>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14,0</w:t>
            </w:r>
          </w:p>
        </w:tc>
        <w:tc>
          <w:tcPr>
            <w:tcW w:w="1766" w:type="dxa"/>
            <w:tcBorders>
              <w:top w:val="single" w:sz="4" w:space="0" w:color="auto"/>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14,0</w:t>
            </w:r>
          </w:p>
        </w:tc>
        <w:tc>
          <w:tcPr>
            <w:tcW w:w="1569" w:type="dxa"/>
            <w:tcBorders>
              <w:top w:val="single" w:sz="4" w:space="0" w:color="auto"/>
              <w:left w:val="nil"/>
              <w:bottom w:val="single" w:sz="4" w:space="0" w:color="auto"/>
              <w:right w:val="single" w:sz="8"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14,0</w:t>
            </w:r>
          </w:p>
        </w:tc>
      </w:tr>
      <w:tr w:rsidR="00737C4D" w:rsidRPr="000B0FD5" w:rsidTr="00A73882">
        <w:trPr>
          <w:trHeight w:val="945"/>
        </w:trPr>
        <w:tc>
          <w:tcPr>
            <w:tcW w:w="706" w:type="dxa"/>
            <w:tcBorders>
              <w:top w:val="nil"/>
              <w:left w:val="single" w:sz="4" w:space="0" w:color="auto"/>
              <w:bottom w:val="single" w:sz="4" w:space="0" w:color="auto"/>
              <w:right w:val="single" w:sz="4" w:space="0" w:color="auto"/>
            </w:tcBorders>
            <w:shd w:val="clear" w:color="000000" w:fill="FFFFFF"/>
          </w:tcPr>
          <w:p w:rsidR="00737C4D" w:rsidRPr="000B0FD5" w:rsidRDefault="00737C4D" w:rsidP="00A73882">
            <w:pPr>
              <w:rPr>
                <w:rFonts w:eastAsia="Times New Roman" w:cs="Times New Roman"/>
                <w:lang w:eastAsia="uk-UA"/>
              </w:rPr>
            </w:pPr>
            <w:r w:rsidRPr="000B0FD5">
              <w:rPr>
                <w:rFonts w:eastAsia="Times New Roman" w:cs="Times New Roman"/>
                <w:lang w:eastAsia="uk-UA"/>
              </w:rPr>
              <w:t>14.</w:t>
            </w:r>
          </w:p>
        </w:tc>
        <w:tc>
          <w:tcPr>
            <w:tcW w:w="4696" w:type="dxa"/>
            <w:tcBorders>
              <w:top w:val="nil"/>
              <w:left w:val="nil"/>
              <w:bottom w:val="single" w:sz="4" w:space="0" w:color="auto"/>
              <w:right w:val="single" w:sz="4" w:space="0" w:color="auto"/>
            </w:tcBorders>
            <w:shd w:val="clear" w:color="000000" w:fill="FFFFFF"/>
            <w:vAlign w:val="center"/>
            <w:hideMark/>
          </w:tcPr>
          <w:p w:rsidR="00737C4D" w:rsidRPr="000B0FD5" w:rsidRDefault="00737C4D" w:rsidP="00A73882">
            <w:pPr>
              <w:rPr>
                <w:rFonts w:eastAsia="Times New Roman" w:cs="Times New Roman"/>
                <w:lang w:eastAsia="uk-UA"/>
              </w:rPr>
            </w:pPr>
            <w:r w:rsidRPr="000B0FD5">
              <w:rPr>
                <w:rFonts w:eastAsia="Times New Roman" w:cs="Times New Roman"/>
                <w:lang w:eastAsia="uk-UA"/>
              </w:rPr>
              <w:t>Програма розвитку дитячо-юнацького футболу департаменту освіти та науки Івано-Франківської міської ради на 2016-2020 роки</w:t>
            </w:r>
          </w:p>
        </w:tc>
        <w:tc>
          <w:tcPr>
            <w:tcW w:w="1559" w:type="dxa"/>
            <w:tcBorders>
              <w:top w:val="nil"/>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525,0</w:t>
            </w:r>
          </w:p>
        </w:tc>
        <w:tc>
          <w:tcPr>
            <w:tcW w:w="1559" w:type="dxa"/>
            <w:tcBorders>
              <w:top w:val="nil"/>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384,9</w:t>
            </w:r>
          </w:p>
        </w:tc>
        <w:tc>
          <w:tcPr>
            <w:tcW w:w="1560" w:type="dxa"/>
            <w:tcBorders>
              <w:top w:val="nil"/>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 </w:t>
            </w:r>
          </w:p>
        </w:tc>
        <w:tc>
          <w:tcPr>
            <w:tcW w:w="1636" w:type="dxa"/>
            <w:tcBorders>
              <w:top w:val="nil"/>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 </w:t>
            </w:r>
          </w:p>
        </w:tc>
        <w:tc>
          <w:tcPr>
            <w:tcW w:w="1766" w:type="dxa"/>
            <w:tcBorders>
              <w:top w:val="nil"/>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525,0</w:t>
            </w:r>
          </w:p>
        </w:tc>
        <w:tc>
          <w:tcPr>
            <w:tcW w:w="1569" w:type="dxa"/>
            <w:tcBorders>
              <w:top w:val="nil"/>
              <w:left w:val="nil"/>
              <w:bottom w:val="single" w:sz="4" w:space="0" w:color="auto"/>
              <w:right w:val="single" w:sz="8"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384,9</w:t>
            </w:r>
          </w:p>
        </w:tc>
      </w:tr>
      <w:tr w:rsidR="00737C4D" w:rsidRPr="000B0FD5" w:rsidTr="00A45FDE">
        <w:trPr>
          <w:trHeight w:val="1005"/>
        </w:trPr>
        <w:tc>
          <w:tcPr>
            <w:tcW w:w="706" w:type="dxa"/>
            <w:tcBorders>
              <w:top w:val="nil"/>
              <w:left w:val="single" w:sz="4" w:space="0" w:color="auto"/>
              <w:bottom w:val="single" w:sz="4" w:space="0" w:color="auto"/>
              <w:right w:val="single" w:sz="4" w:space="0" w:color="auto"/>
            </w:tcBorders>
            <w:shd w:val="clear" w:color="000000" w:fill="FFFFFF"/>
          </w:tcPr>
          <w:p w:rsidR="00737C4D" w:rsidRPr="000B0FD5" w:rsidRDefault="00737C4D" w:rsidP="00A73882">
            <w:pPr>
              <w:jc w:val="center"/>
              <w:rPr>
                <w:rFonts w:eastAsia="Times New Roman" w:cs="Times New Roman"/>
                <w:lang w:eastAsia="uk-UA"/>
              </w:rPr>
            </w:pPr>
            <w:r w:rsidRPr="000B0FD5">
              <w:rPr>
                <w:rFonts w:eastAsia="Times New Roman" w:cs="Times New Roman"/>
                <w:lang w:eastAsia="uk-UA"/>
              </w:rPr>
              <w:t>156.</w:t>
            </w:r>
          </w:p>
        </w:tc>
        <w:tc>
          <w:tcPr>
            <w:tcW w:w="4696" w:type="dxa"/>
            <w:tcBorders>
              <w:top w:val="nil"/>
              <w:left w:val="single" w:sz="4" w:space="0" w:color="auto"/>
              <w:bottom w:val="single" w:sz="4" w:space="0" w:color="auto"/>
              <w:right w:val="single" w:sz="4" w:space="0" w:color="auto"/>
            </w:tcBorders>
            <w:shd w:val="clear" w:color="000000" w:fill="FFFFFF"/>
            <w:hideMark/>
          </w:tcPr>
          <w:p w:rsidR="00737C4D" w:rsidRPr="000B0FD5" w:rsidRDefault="00737C4D" w:rsidP="00A45FDE">
            <w:pPr>
              <w:rPr>
                <w:rFonts w:eastAsia="Times New Roman" w:cs="Times New Roman"/>
                <w:lang w:eastAsia="uk-UA"/>
              </w:rPr>
            </w:pPr>
            <w:r w:rsidRPr="000B0FD5">
              <w:rPr>
                <w:rFonts w:eastAsia="Times New Roman" w:cs="Times New Roman"/>
                <w:lang w:eastAsia="uk-UA"/>
              </w:rPr>
              <w:t>Міська цільова програма "Здоров'я населення міста Івано-Франківська 2018-2020 роки"</w:t>
            </w:r>
          </w:p>
        </w:tc>
        <w:tc>
          <w:tcPr>
            <w:tcW w:w="1559" w:type="dxa"/>
            <w:tcBorders>
              <w:top w:val="nil"/>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1320,7</w:t>
            </w:r>
          </w:p>
        </w:tc>
        <w:tc>
          <w:tcPr>
            <w:tcW w:w="1559" w:type="dxa"/>
            <w:tcBorders>
              <w:top w:val="nil"/>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1245,0</w:t>
            </w:r>
          </w:p>
        </w:tc>
        <w:tc>
          <w:tcPr>
            <w:tcW w:w="1560" w:type="dxa"/>
            <w:tcBorders>
              <w:top w:val="nil"/>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 </w:t>
            </w:r>
          </w:p>
        </w:tc>
        <w:tc>
          <w:tcPr>
            <w:tcW w:w="1636" w:type="dxa"/>
            <w:tcBorders>
              <w:top w:val="nil"/>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 </w:t>
            </w:r>
          </w:p>
        </w:tc>
        <w:tc>
          <w:tcPr>
            <w:tcW w:w="1766" w:type="dxa"/>
            <w:tcBorders>
              <w:top w:val="nil"/>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1320,7</w:t>
            </w:r>
          </w:p>
        </w:tc>
        <w:tc>
          <w:tcPr>
            <w:tcW w:w="1569" w:type="dxa"/>
            <w:tcBorders>
              <w:top w:val="nil"/>
              <w:left w:val="nil"/>
              <w:bottom w:val="single" w:sz="4" w:space="0" w:color="auto"/>
              <w:right w:val="single" w:sz="8"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1245,0</w:t>
            </w:r>
          </w:p>
        </w:tc>
      </w:tr>
      <w:tr w:rsidR="00737C4D" w:rsidRPr="000B0FD5" w:rsidTr="00A45FDE">
        <w:trPr>
          <w:trHeight w:val="416"/>
        </w:trPr>
        <w:tc>
          <w:tcPr>
            <w:tcW w:w="706" w:type="dxa"/>
            <w:tcBorders>
              <w:top w:val="single" w:sz="4" w:space="0" w:color="auto"/>
              <w:left w:val="single" w:sz="4" w:space="0" w:color="auto"/>
              <w:bottom w:val="single" w:sz="4" w:space="0" w:color="auto"/>
              <w:right w:val="single" w:sz="4" w:space="0" w:color="auto"/>
            </w:tcBorders>
            <w:shd w:val="clear" w:color="000000" w:fill="FFFFFF"/>
          </w:tcPr>
          <w:p w:rsidR="00737C4D" w:rsidRPr="000B0FD5" w:rsidRDefault="00737C4D" w:rsidP="00A73882">
            <w:pPr>
              <w:rPr>
                <w:rFonts w:eastAsia="Times New Roman" w:cs="Times New Roman"/>
                <w:lang w:eastAsia="uk-UA"/>
              </w:rPr>
            </w:pPr>
            <w:r w:rsidRPr="000B0FD5">
              <w:rPr>
                <w:rFonts w:eastAsia="Times New Roman" w:cs="Times New Roman"/>
                <w:lang w:eastAsia="uk-UA"/>
              </w:rPr>
              <w:lastRenderedPageBreak/>
              <w:t>16.</w:t>
            </w:r>
          </w:p>
        </w:tc>
        <w:tc>
          <w:tcPr>
            <w:tcW w:w="46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37C4D" w:rsidRPr="000B0FD5" w:rsidRDefault="00737C4D" w:rsidP="00A73882">
            <w:pPr>
              <w:rPr>
                <w:rFonts w:eastAsia="Times New Roman" w:cs="Times New Roman"/>
                <w:lang w:eastAsia="uk-UA"/>
              </w:rPr>
            </w:pPr>
            <w:r w:rsidRPr="000B0FD5">
              <w:rPr>
                <w:rFonts w:eastAsia="Times New Roman" w:cs="Times New Roman"/>
                <w:lang w:eastAsia="uk-UA"/>
              </w:rPr>
              <w:t>Програма міжнародної співпраці медичної галузі міста Івано-Франківська на 2018–2020 роки</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210,4</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209,9</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 </w:t>
            </w:r>
          </w:p>
        </w:tc>
        <w:tc>
          <w:tcPr>
            <w:tcW w:w="1636" w:type="dxa"/>
            <w:tcBorders>
              <w:top w:val="single" w:sz="4" w:space="0" w:color="auto"/>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 </w:t>
            </w:r>
          </w:p>
        </w:tc>
        <w:tc>
          <w:tcPr>
            <w:tcW w:w="1766" w:type="dxa"/>
            <w:tcBorders>
              <w:top w:val="single" w:sz="4" w:space="0" w:color="auto"/>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210,4</w:t>
            </w:r>
          </w:p>
        </w:tc>
        <w:tc>
          <w:tcPr>
            <w:tcW w:w="1569" w:type="dxa"/>
            <w:tcBorders>
              <w:top w:val="single" w:sz="4" w:space="0" w:color="auto"/>
              <w:left w:val="nil"/>
              <w:bottom w:val="single" w:sz="4" w:space="0" w:color="auto"/>
              <w:right w:val="single" w:sz="8"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209,9</w:t>
            </w:r>
          </w:p>
        </w:tc>
      </w:tr>
      <w:tr w:rsidR="00737C4D" w:rsidRPr="000B0FD5" w:rsidTr="00A73882">
        <w:trPr>
          <w:trHeight w:val="703"/>
        </w:trPr>
        <w:tc>
          <w:tcPr>
            <w:tcW w:w="706" w:type="dxa"/>
            <w:tcBorders>
              <w:top w:val="single" w:sz="4" w:space="0" w:color="auto"/>
              <w:left w:val="single" w:sz="4" w:space="0" w:color="auto"/>
              <w:bottom w:val="single" w:sz="4" w:space="0" w:color="auto"/>
              <w:right w:val="single" w:sz="4" w:space="0" w:color="auto"/>
            </w:tcBorders>
            <w:shd w:val="clear" w:color="000000" w:fill="FFFFFF"/>
          </w:tcPr>
          <w:p w:rsidR="00737C4D" w:rsidRPr="000B0FD5" w:rsidRDefault="00737C4D" w:rsidP="00A73882">
            <w:pPr>
              <w:rPr>
                <w:rFonts w:eastAsia="Times New Roman" w:cs="Times New Roman"/>
                <w:lang w:eastAsia="uk-UA"/>
              </w:rPr>
            </w:pPr>
            <w:r w:rsidRPr="000B0FD5">
              <w:rPr>
                <w:rFonts w:eastAsia="Times New Roman" w:cs="Times New Roman"/>
                <w:lang w:eastAsia="uk-UA"/>
              </w:rPr>
              <w:t>17.</w:t>
            </w:r>
          </w:p>
        </w:tc>
        <w:tc>
          <w:tcPr>
            <w:tcW w:w="46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37C4D" w:rsidRPr="000B0FD5" w:rsidRDefault="00737C4D" w:rsidP="00A73882">
            <w:pPr>
              <w:rPr>
                <w:rFonts w:eastAsia="Times New Roman" w:cs="Times New Roman"/>
                <w:lang w:eastAsia="uk-UA"/>
              </w:rPr>
            </w:pPr>
            <w:r w:rsidRPr="000B0FD5">
              <w:rPr>
                <w:rFonts w:eastAsia="Times New Roman" w:cs="Times New Roman"/>
                <w:lang w:eastAsia="uk-UA"/>
              </w:rPr>
              <w:t>Міська цільова програма "Здоров'я населення міста Івано-Франківська 2018-2020 роки"</w:t>
            </w:r>
          </w:p>
        </w:tc>
        <w:tc>
          <w:tcPr>
            <w:tcW w:w="1559" w:type="dxa"/>
            <w:tcBorders>
              <w:top w:val="single" w:sz="4" w:space="0" w:color="auto"/>
              <w:left w:val="nil"/>
              <w:bottom w:val="single" w:sz="4" w:space="0" w:color="auto"/>
              <w:right w:val="nil"/>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 </w:t>
            </w:r>
          </w:p>
        </w:tc>
        <w:tc>
          <w:tcPr>
            <w:tcW w:w="1559" w:type="dxa"/>
            <w:tcBorders>
              <w:top w:val="single" w:sz="4" w:space="0" w:color="auto"/>
              <w:left w:val="single" w:sz="4" w:space="0" w:color="auto"/>
              <w:bottom w:val="single" w:sz="4" w:space="0" w:color="auto"/>
              <w:right w:val="nil"/>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 </w:t>
            </w:r>
          </w:p>
        </w:tc>
        <w:tc>
          <w:tcPr>
            <w:tcW w:w="1560" w:type="dxa"/>
            <w:tcBorders>
              <w:top w:val="single" w:sz="4" w:space="0" w:color="auto"/>
              <w:left w:val="single" w:sz="4" w:space="0" w:color="auto"/>
              <w:bottom w:val="single" w:sz="4" w:space="0" w:color="auto"/>
              <w:right w:val="nil"/>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830,0</w:t>
            </w:r>
          </w:p>
        </w:tc>
        <w:tc>
          <w:tcPr>
            <w:tcW w:w="1636" w:type="dxa"/>
            <w:tcBorders>
              <w:top w:val="single" w:sz="4" w:space="0" w:color="auto"/>
              <w:left w:val="single" w:sz="4" w:space="0" w:color="auto"/>
              <w:bottom w:val="single" w:sz="4" w:space="0" w:color="auto"/>
              <w:right w:val="nil"/>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830,0</w:t>
            </w:r>
          </w:p>
        </w:tc>
        <w:tc>
          <w:tcPr>
            <w:tcW w:w="176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830,0</w:t>
            </w:r>
          </w:p>
        </w:tc>
        <w:tc>
          <w:tcPr>
            <w:tcW w:w="1569" w:type="dxa"/>
            <w:tcBorders>
              <w:top w:val="single" w:sz="4" w:space="0" w:color="auto"/>
              <w:left w:val="nil"/>
              <w:bottom w:val="single" w:sz="4" w:space="0" w:color="auto"/>
              <w:right w:val="single" w:sz="8"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830,0</w:t>
            </w:r>
          </w:p>
        </w:tc>
      </w:tr>
      <w:tr w:rsidR="00737C4D" w:rsidRPr="000B0FD5" w:rsidTr="00A73882">
        <w:trPr>
          <w:trHeight w:val="2201"/>
        </w:trPr>
        <w:tc>
          <w:tcPr>
            <w:tcW w:w="706" w:type="dxa"/>
            <w:tcBorders>
              <w:top w:val="single" w:sz="4" w:space="0" w:color="auto"/>
              <w:left w:val="single" w:sz="4" w:space="0" w:color="auto"/>
              <w:bottom w:val="single" w:sz="4" w:space="0" w:color="auto"/>
              <w:right w:val="single" w:sz="4" w:space="0" w:color="auto"/>
            </w:tcBorders>
            <w:shd w:val="clear" w:color="000000" w:fill="FFFFFF"/>
          </w:tcPr>
          <w:p w:rsidR="00737C4D" w:rsidRPr="000B0FD5" w:rsidRDefault="00737C4D" w:rsidP="00A73882">
            <w:pPr>
              <w:rPr>
                <w:rFonts w:eastAsia="Times New Roman" w:cs="Times New Roman"/>
                <w:lang w:eastAsia="uk-UA"/>
              </w:rPr>
            </w:pPr>
            <w:r w:rsidRPr="000B0FD5">
              <w:rPr>
                <w:rFonts w:eastAsia="Times New Roman" w:cs="Times New Roman"/>
                <w:lang w:eastAsia="uk-UA"/>
              </w:rPr>
              <w:t>18.</w:t>
            </w:r>
          </w:p>
        </w:tc>
        <w:tc>
          <w:tcPr>
            <w:tcW w:w="46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37C4D" w:rsidRDefault="00737C4D" w:rsidP="00A73882">
            <w:pPr>
              <w:rPr>
                <w:rFonts w:eastAsia="Times New Roman" w:cs="Times New Roman"/>
                <w:lang w:eastAsia="uk-UA"/>
              </w:rPr>
            </w:pPr>
            <w:r w:rsidRPr="000B0FD5">
              <w:rPr>
                <w:rFonts w:eastAsia="Times New Roman" w:cs="Times New Roman"/>
                <w:lang w:eastAsia="uk-UA"/>
              </w:rPr>
              <w:t xml:space="preserve">Програма соціальної підтримки окремих категорій громадян м. Івано-Франківська на 2018-2020 </w:t>
            </w:r>
            <w:proofErr w:type="gramStart"/>
            <w:r w:rsidRPr="000B0FD5">
              <w:rPr>
                <w:rFonts w:eastAsia="Times New Roman" w:cs="Times New Roman"/>
                <w:lang w:eastAsia="uk-UA"/>
              </w:rPr>
              <w:t>роки ,</w:t>
            </w:r>
            <w:proofErr w:type="gramEnd"/>
            <w:r w:rsidRPr="000B0FD5">
              <w:rPr>
                <w:rFonts w:eastAsia="Times New Roman" w:cs="Times New Roman"/>
                <w:lang w:eastAsia="uk-UA"/>
              </w:rPr>
              <w:t xml:space="preserve">  Міська програма соціального захисту членів сімей загиблих учасників АТО на 2016-</w:t>
            </w:r>
            <w:r>
              <w:rPr>
                <w:rFonts w:eastAsia="Times New Roman" w:cs="Times New Roman"/>
                <w:lang w:eastAsia="uk-UA"/>
              </w:rPr>
              <w:t xml:space="preserve"> </w:t>
            </w:r>
          </w:p>
          <w:p w:rsidR="00737C4D" w:rsidRPr="000B0FD5" w:rsidRDefault="00737C4D" w:rsidP="00A73882">
            <w:pPr>
              <w:rPr>
                <w:rFonts w:eastAsia="Times New Roman" w:cs="Times New Roman"/>
                <w:lang w:eastAsia="uk-UA"/>
              </w:rPr>
            </w:pPr>
            <w:r w:rsidRPr="000B0FD5">
              <w:rPr>
                <w:rFonts w:eastAsia="Times New Roman" w:cs="Times New Roman"/>
                <w:lang w:eastAsia="uk-UA"/>
              </w:rPr>
              <w:t>2020 роки</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27524,8</w:t>
            </w:r>
          </w:p>
          <w:p w:rsidR="00737C4D" w:rsidRPr="00615AF4" w:rsidRDefault="00737C4D" w:rsidP="00A73882">
            <w:pPr>
              <w:jc w:val="center"/>
              <w:rPr>
                <w:rFonts w:eastAsia="Times New Roman" w:cs="Times New Roman"/>
                <w:lang w:eastAsia="uk-UA"/>
              </w:rPr>
            </w:pP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21566,4</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 608,0</w:t>
            </w:r>
          </w:p>
        </w:tc>
        <w:tc>
          <w:tcPr>
            <w:tcW w:w="1636" w:type="dxa"/>
            <w:tcBorders>
              <w:top w:val="single" w:sz="4" w:space="0" w:color="auto"/>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533,4 </w:t>
            </w:r>
          </w:p>
        </w:tc>
        <w:tc>
          <w:tcPr>
            <w:tcW w:w="1766" w:type="dxa"/>
            <w:tcBorders>
              <w:top w:val="single" w:sz="4" w:space="0" w:color="auto"/>
              <w:left w:val="nil"/>
              <w:bottom w:val="single" w:sz="4" w:space="0" w:color="auto"/>
              <w:right w:val="single" w:sz="4" w:space="0" w:color="auto"/>
            </w:tcBorders>
            <w:shd w:val="clear" w:color="000000" w:fill="FFFFFF"/>
            <w:vAlign w:val="center"/>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28024,8</w:t>
            </w:r>
          </w:p>
        </w:tc>
        <w:tc>
          <w:tcPr>
            <w:tcW w:w="1569" w:type="dxa"/>
            <w:tcBorders>
              <w:top w:val="single" w:sz="4" w:space="0" w:color="auto"/>
              <w:left w:val="nil"/>
              <w:bottom w:val="single" w:sz="4" w:space="0" w:color="auto"/>
              <w:right w:val="single" w:sz="8" w:space="0" w:color="auto"/>
            </w:tcBorders>
            <w:shd w:val="clear" w:color="000000" w:fill="FFFFFF"/>
            <w:noWrap/>
            <w:vAlign w:val="center"/>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22099,8</w:t>
            </w:r>
          </w:p>
        </w:tc>
      </w:tr>
      <w:tr w:rsidR="00737C4D" w:rsidRPr="000B0FD5" w:rsidTr="00A73882">
        <w:trPr>
          <w:trHeight w:val="1260"/>
        </w:trPr>
        <w:tc>
          <w:tcPr>
            <w:tcW w:w="706" w:type="dxa"/>
            <w:tcBorders>
              <w:top w:val="single" w:sz="4" w:space="0" w:color="auto"/>
              <w:left w:val="single" w:sz="4" w:space="0" w:color="auto"/>
              <w:bottom w:val="single" w:sz="4" w:space="0" w:color="auto"/>
              <w:right w:val="single" w:sz="4" w:space="0" w:color="auto"/>
            </w:tcBorders>
            <w:shd w:val="clear" w:color="000000" w:fill="FFFFFF"/>
          </w:tcPr>
          <w:p w:rsidR="00737C4D" w:rsidRPr="000B0FD5" w:rsidRDefault="00737C4D" w:rsidP="00A73882">
            <w:pPr>
              <w:rPr>
                <w:rFonts w:eastAsia="Times New Roman" w:cs="Times New Roman"/>
                <w:color w:val="000000"/>
                <w:lang w:eastAsia="uk-UA"/>
              </w:rPr>
            </w:pPr>
            <w:r>
              <w:rPr>
                <w:rFonts w:eastAsia="Times New Roman" w:cs="Times New Roman"/>
                <w:color w:val="000000"/>
                <w:lang w:eastAsia="uk-UA"/>
              </w:rPr>
              <w:t>19.</w:t>
            </w:r>
          </w:p>
        </w:tc>
        <w:tc>
          <w:tcPr>
            <w:tcW w:w="4696" w:type="dxa"/>
            <w:tcBorders>
              <w:top w:val="single" w:sz="4" w:space="0" w:color="auto"/>
              <w:left w:val="nil"/>
              <w:bottom w:val="single" w:sz="4" w:space="0" w:color="auto"/>
              <w:right w:val="single" w:sz="4" w:space="0" w:color="auto"/>
            </w:tcBorders>
            <w:shd w:val="clear" w:color="000000" w:fill="FFFFFF"/>
            <w:vAlign w:val="center"/>
            <w:hideMark/>
          </w:tcPr>
          <w:p w:rsidR="00737C4D" w:rsidRPr="000B0FD5" w:rsidRDefault="00737C4D" w:rsidP="00A73882">
            <w:pPr>
              <w:rPr>
                <w:rFonts w:eastAsia="Times New Roman" w:cs="Times New Roman"/>
                <w:color w:val="000000"/>
                <w:lang w:eastAsia="uk-UA"/>
              </w:rPr>
            </w:pPr>
            <w:r w:rsidRPr="000B0FD5">
              <w:rPr>
                <w:rFonts w:eastAsia="Times New Roman" w:cs="Times New Roman"/>
                <w:color w:val="000000"/>
                <w:lang w:eastAsia="uk-UA"/>
              </w:rPr>
              <w:t>Програма забезпечення виконання рішень суду щодо безспірного списання коштів з розпорядника бюджетних коштів департаменту соціальної політики виконкому міської ради на 2017-2020 роки</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10,0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i/>
                <w:iCs/>
                <w:lang w:eastAsia="uk-UA"/>
              </w:rPr>
            </w:pPr>
            <w:r w:rsidRPr="00615AF4">
              <w:rPr>
                <w:rFonts w:eastAsia="Times New Roman" w:cs="Times New Roman"/>
                <w:i/>
                <w:iCs/>
                <w:lang w:eastAsia="uk-UA"/>
              </w:rPr>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 </w:t>
            </w:r>
          </w:p>
        </w:tc>
        <w:tc>
          <w:tcPr>
            <w:tcW w:w="1636" w:type="dxa"/>
            <w:tcBorders>
              <w:top w:val="single" w:sz="4" w:space="0" w:color="auto"/>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 </w:t>
            </w:r>
          </w:p>
        </w:tc>
        <w:tc>
          <w:tcPr>
            <w:tcW w:w="1766" w:type="dxa"/>
            <w:tcBorders>
              <w:top w:val="single" w:sz="4" w:space="0" w:color="auto"/>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10,0</w:t>
            </w:r>
          </w:p>
        </w:tc>
        <w:tc>
          <w:tcPr>
            <w:tcW w:w="1569" w:type="dxa"/>
            <w:tcBorders>
              <w:top w:val="single" w:sz="4" w:space="0" w:color="auto"/>
              <w:left w:val="nil"/>
              <w:bottom w:val="single" w:sz="4" w:space="0" w:color="auto"/>
              <w:right w:val="single" w:sz="8"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0,0</w:t>
            </w:r>
          </w:p>
        </w:tc>
      </w:tr>
      <w:tr w:rsidR="00737C4D" w:rsidRPr="000B0FD5" w:rsidTr="00A73882">
        <w:trPr>
          <w:trHeight w:val="945"/>
        </w:trPr>
        <w:tc>
          <w:tcPr>
            <w:tcW w:w="706" w:type="dxa"/>
            <w:tcBorders>
              <w:top w:val="single" w:sz="4" w:space="0" w:color="auto"/>
              <w:left w:val="single" w:sz="4" w:space="0" w:color="auto"/>
              <w:bottom w:val="single" w:sz="4" w:space="0" w:color="auto"/>
              <w:right w:val="single" w:sz="4" w:space="0" w:color="auto"/>
            </w:tcBorders>
            <w:shd w:val="clear" w:color="000000" w:fill="FFFFFF"/>
          </w:tcPr>
          <w:p w:rsidR="00737C4D" w:rsidRPr="000B0FD5" w:rsidRDefault="00737C4D" w:rsidP="00A73882">
            <w:pPr>
              <w:jc w:val="both"/>
              <w:rPr>
                <w:rFonts w:eastAsia="Times New Roman" w:cs="Times New Roman"/>
                <w:lang w:eastAsia="uk-UA"/>
              </w:rPr>
            </w:pPr>
            <w:r>
              <w:rPr>
                <w:rFonts w:eastAsia="Times New Roman" w:cs="Times New Roman"/>
                <w:lang w:eastAsia="uk-UA"/>
              </w:rPr>
              <w:t>20.</w:t>
            </w:r>
          </w:p>
        </w:tc>
        <w:tc>
          <w:tcPr>
            <w:tcW w:w="46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37C4D" w:rsidRPr="000B0FD5" w:rsidRDefault="00737C4D" w:rsidP="00A73882">
            <w:pPr>
              <w:jc w:val="both"/>
              <w:rPr>
                <w:rFonts w:eastAsia="Times New Roman" w:cs="Times New Roman"/>
                <w:lang w:eastAsia="uk-UA"/>
              </w:rPr>
            </w:pPr>
            <w:proofErr w:type="gramStart"/>
            <w:r w:rsidRPr="000B0FD5">
              <w:rPr>
                <w:rFonts w:eastAsia="Times New Roman" w:cs="Times New Roman"/>
                <w:lang w:eastAsia="uk-UA"/>
              </w:rPr>
              <w:t>Програми  дистанційного</w:t>
            </w:r>
            <w:proofErr w:type="gramEnd"/>
            <w:r w:rsidRPr="000B0FD5">
              <w:rPr>
                <w:rFonts w:eastAsia="Times New Roman" w:cs="Times New Roman"/>
                <w:lang w:eastAsia="uk-UA"/>
              </w:rPr>
              <w:t xml:space="preserve"> навчання студентів з особливими потребами на 2019-2023 рр.</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100,0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100,0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 </w:t>
            </w:r>
          </w:p>
        </w:tc>
        <w:tc>
          <w:tcPr>
            <w:tcW w:w="16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 </w:t>
            </w:r>
          </w:p>
        </w:tc>
        <w:tc>
          <w:tcPr>
            <w:tcW w:w="176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100,0</w:t>
            </w:r>
          </w:p>
        </w:tc>
        <w:tc>
          <w:tcPr>
            <w:tcW w:w="15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100,0</w:t>
            </w:r>
          </w:p>
        </w:tc>
      </w:tr>
      <w:tr w:rsidR="00737C4D" w:rsidRPr="000B0FD5" w:rsidTr="00A73882">
        <w:trPr>
          <w:trHeight w:val="898"/>
        </w:trPr>
        <w:tc>
          <w:tcPr>
            <w:tcW w:w="706" w:type="dxa"/>
            <w:tcBorders>
              <w:top w:val="nil"/>
              <w:left w:val="single" w:sz="4" w:space="0" w:color="auto"/>
              <w:bottom w:val="single" w:sz="4" w:space="0" w:color="auto"/>
              <w:right w:val="single" w:sz="4" w:space="0" w:color="auto"/>
            </w:tcBorders>
            <w:shd w:val="clear" w:color="000000" w:fill="FFFFFF"/>
          </w:tcPr>
          <w:p w:rsidR="00737C4D" w:rsidRPr="000B0FD5" w:rsidRDefault="00737C4D" w:rsidP="00A73882">
            <w:pPr>
              <w:rPr>
                <w:rFonts w:eastAsia="Times New Roman" w:cs="Times New Roman"/>
                <w:lang w:eastAsia="uk-UA"/>
              </w:rPr>
            </w:pPr>
            <w:r w:rsidRPr="000B0FD5">
              <w:rPr>
                <w:rFonts w:eastAsia="Times New Roman" w:cs="Times New Roman"/>
                <w:lang w:eastAsia="uk-UA"/>
              </w:rPr>
              <w:t>21.</w:t>
            </w:r>
          </w:p>
        </w:tc>
        <w:tc>
          <w:tcPr>
            <w:tcW w:w="4696" w:type="dxa"/>
            <w:tcBorders>
              <w:top w:val="nil"/>
              <w:left w:val="single" w:sz="4" w:space="0" w:color="auto"/>
              <w:bottom w:val="single" w:sz="4" w:space="0" w:color="auto"/>
              <w:right w:val="single" w:sz="4" w:space="0" w:color="auto"/>
            </w:tcBorders>
            <w:shd w:val="clear" w:color="000000" w:fill="FFFFFF"/>
            <w:vAlign w:val="center"/>
            <w:hideMark/>
          </w:tcPr>
          <w:p w:rsidR="00737C4D" w:rsidRPr="000B0FD5" w:rsidRDefault="00737C4D" w:rsidP="00A73882">
            <w:pPr>
              <w:rPr>
                <w:rFonts w:eastAsia="Times New Roman" w:cs="Times New Roman"/>
                <w:lang w:eastAsia="uk-UA"/>
              </w:rPr>
            </w:pPr>
            <w:r w:rsidRPr="000B0FD5">
              <w:rPr>
                <w:rFonts w:eastAsia="Times New Roman" w:cs="Times New Roman"/>
                <w:lang w:eastAsia="uk-UA"/>
              </w:rPr>
              <w:t>Міська програма з реалізації національної стратегії у сфері прав дитини на період 2017-2020 роки.</w:t>
            </w:r>
          </w:p>
        </w:tc>
        <w:tc>
          <w:tcPr>
            <w:tcW w:w="1559" w:type="dxa"/>
            <w:tcBorders>
              <w:top w:val="nil"/>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310,0</w:t>
            </w:r>
          </w:p>
        </w:tc>
        <w:tc>
          <w:tcPr>
            <w:tcW w:w="1636" w:type="dxa"/>
            <w:tcBorders>
              <w:top w:val="nil"/>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310,0</w:t>
            </w:r>
          </w:p>
        </w:tc>
        <w:tc>
          <w:tcPr>
            <w:tcW w:w="1766" w:type="dxa"/>
            <w:tcBorders>
              <w:top w:val="nil"/>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310,0</w:t>
            </w:r>
          </w:p>
        </w:tc>
        <w:tc>
          <w:tcPr>
            <w:tcW w:w="1569" w:type="dxa"/>
            <w:tcBorders>
              <w:top w:val="nil"/>
              <w:left w:val="nil"/>
              <w:bottom w:val="single" w:sz="4" w:space="0" w:color="auto"/>
              <w:right w:val="single" w:sz="8"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310,0</w:t>
            </w:r>
          </w:p>
        </w:tc>
      </w:tr>
      <w:tr w:rsidR="00737C4D" w:rsidRPr="007531DF" w:rsidTr="00A73882">
        <w:trPr>
          <w:trHeight w:val="630"/>
        </w:trPr>
        <w:tc>
          <w:tcPr>
            <w:tcW w:w="706" w:type="dxa"/>
            <w:tcBorders>
              <w:top w:val="nil"/>
              <w:left w:val="single" w:sz="4" w:space="0" w:color="auto"/>
              <w:bottom w:val="single" w:sz="4" w:space="0" w:color="auto"/>
              <w:right w:val="single" w:sz="4" w:space="0" w:color="auto"/>
            </w:tcBorders>
            <w:shd w:val="clear" w:color="000000" w:fill="FFFFFF"/>
          </w:tcPr>
          <w:p w:rsidR="00737C4D" w:rsidRPr="007531DF" w:rsidRDefault="00737C4D" w:rsidP="00A73882">
            <w:pPr>
              <w:rPr>
                <w:rFonts w:eastAsia="Times New Roman" w:cs="Times New Roman"/>
                <w:lang w:eastAsia="uk-UA"/>
              </w:rPr>
            </w:pPr>
            <w:r w:rsidRPr="007531DF">
              <w:rPr>
                <w:rFonts w:eastAsia="Times New Roman" w:cs="Times New Roman"/>
                <w:lang w:eastAsia="uk-UA"/>
              </w:rPr>
              <w:t>22.</w:t>
            </w:r>
          </w:p>
        </w:tc>
        <w:tc>
          <w:tcPr>
            <w:tcW w:w="4696" w:type="dxa"/>
            <w:tcBorders>
              <w:top w:val="nil"/>
              <w:left w:val="nil"/>
              <w:bottom w:val="single" w:sz="4" w:space="0" w:color="auto"/>
              <w:right w:val="single" w:sz="4" w:space="0" w:color="auto"/>
            </w:tcBorders>
            <w:shd w:val="clear" w:color="000000" w:fill="FFFFFF"/>
            <w:vAlign w:val="center"/>
            <w:hideMark/>
          </w:tcPr>
          <w:p w:rsidR="00737C4D" w:rsidRPr="007531DF" w:rsidRDefault="00737C4D" w:rsidP="00A73882">
            <w:pPr>
              <w:rPr>
                <w:rFonts w:eastAsia="Times New Roman" w:cs="Times New Roman"/>
                <w:lang w:eastAsia="uk-UA"/>
              </w:rPr>
            </w:pPr>
            <w:r w:rsidRPr="007531DF">
              <w:rPr>
                <w:rFonts w:eastAsia="Times New Roman" w:cs="Times New Roman"/>
                <w:lang w:eastAsia="uk-UA"/>
              </w:rPr>
              <w:t>Комплексна програма підтримки та розвитку культури міста Івано-Франківська на 2016-2020 роки</w:t>
            </w:r>
          </w:p>
        </w:tc>
        <w:tc>
          <w:tcPr>
            <w:tcW w:w="1559" w:type="dxa"/>
            <w:tcBorders>
              <w:top w:val="nil"/>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418,0</w:t>
            </w:r>
          </w:p>
        </w:tc>
        <w:tc>
          <w:tcPr>
            <w:tcW w:w="1636" w:type="dxa"/>
            <w:tcBorders>
              <w:top w:val="nil"/>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169,5</w:t>
            </w:r>
          </w:p>
        </w:tc>
        <w:tc>
          <w:tcPr>
            <w:tcW w:w="1766" w:type="dxa"/>
            <w:tcBorders>
              <w:top w:val="nil"/>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407,0</w:t>
            </w:r>
          </w:p>
        </w:tc>
        <w:tc>
          <w:tcPr>
            <w:tcW w:w="1569" w:type="dxa"/>
            <w:tcBorders>
              <w:top w:val="nil"/>
              <w:left w:val="nil"/>
              <w:bottom w:val="single" w:sz="4" w:space="0" w:color="auto"/>
              <w:right w:val="single" w:sz="8"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169,5</w:t>
            </w:r>
          </w:p>
        </w:tc>
      </w:tr>
      <w:tr w:rsidR="00737C4D" w:rsidRPr="007531DF" w:rsidTr="00A73882">
        <w:trPr>
          <w:trHeight w:val="630"/>
        </w:trPr>
        <w:tc>
          <w:tcPr>
            <w:tcW w:w="706" w:type="dxa"/>
            <w:tcBorders>
              <w:top w:val="nil"/>
              <w:left w:val="single" w:sz="4" w:space="0" w:color="auto"/>
              <w:bottom w:val="single" w:sz="4" w:space="0" w:color="auto"/>
              <w:right w:val="single" w:sz="4" w:space="0" w:color="auto"/>
            </w:tcBorders>
            <w:shd w:val="clear" w:color="000000" w:fill="FFFFFF"/>
          </w:tcPr>
          <w:p w:rsidR="00737C4D" w:rsidRPr="007531DF" w:rsidRDefault="00737C4D" w:rsidP="00A73882">
            <w:pPr>
              <w:rPr>
                <w:rFonts w:eastAsia="Times New Roman" w:cs="Times New Roman"/>
                <w:lang w:eastAsia="uk-UA"/>
              </w:rPr>
            </w:pPr>
            <w:r w:rsidRPr="007531DF">
              <w:rPr>
                <w:rFonts w:eastAsia="Times New Roman" w:cs="Times New Roman"/>
                <w:lang w:eastAsia="uk-UA"/>
              </w:rPr>
              <w:lastRenderedPageBreak/>
              <w:t>23.</w:t>
            </w:r>
          </w:p>
        </w:tc>
        <w:tc>
          <w:tcPr>
            <w:tcW w:w="4696" w:type="dxa"/>
            <w:tcBorders>
              <w:top w:val="nil"/>
              <w:left w:val="nil"/>
              <w:bottom w:val="single" w:sz="4" w:space="0" w:color="auto"/>
              <w:right w:val="single" w:sz="4" w:space="0" w:color="auto"/>
            </w:tcBorders>
            <w:shd w:val="clear" w:color="000000" w:fill="FFFFFF"/>
            <w:vAlign w:val="center"/>
            <w:hideMark/>
          </w:tcPr>
          <w:p w:rsidR="00737C4D" w:rsidRPr="007531DF" w:rsidRDefault="00737C4D" w:rsidP="00A73882">
            <w:pPr>
              <w:rPr>
                <w:rFonts w:eastAsia="Times New Roman" w:cs="Times New Roman"/>
                <w:lang w:eastAsia="uk-UA"/>
              </w:rPr>
            </w:pPr>
            <w:r w:rsidRPr="007531DF">
              <w:rPr>
                <w:rFonts w:eastAsia="Times New Roman" w:cs="Times New Roman"/>
                <w:lang w:eastAsia="uk-UA"/>
              </w:rPr>
              <w:t xml:space="preserve">Програма “Івано-Франківськ – місто героїв на 2016-2017 роки” </w:t>
            </w:r>
          </w:p>
        </w:tc>
        <w:tc>
          <w:tcPr>
            <w:tcW w:w="1559" w:type="dxa"/>
            <w:tcBorders>
              <w:top w:val="nil"/>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100,0</w:t>
            </w:r>
          </w:p>
        </w:tc>
        <w:tc>
          <w:tcPr>
            <w:tcW w:w="1636" w:type="dxa"/>
            <w:tcBorders>
              <w:top w:val="nil"/>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31,0</w:t>
            </w:r>
          </w:p>
        </w:tc>
        <w:tc>
          <w:tcPr>
            <w:tcW w:w="1766" w:type="dxa"/>
            <w:tcBorders>
              <w:top w:val="nil"/>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100,0</w:t>
            </w:r>
          </w:p>
        </w:tc>
        <w:tc>
          <w:tcPr>
            <w:tcW w:w="1569" w:type="dxa"/>
            <w:tcBorders>
              <w:top w:val="nil"/>
              <w:left w:val="nil"/>
              <w:bottom w:val="single" w:sz="4" w:space="0" w:color="auto"/>
              <w:right w:val="single" w:sz="8"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31,0</w:t>
            </w:r>
          </w:p>
        </w:tc>
      </w:tr>
      <w:tr w:rsidR="00737C4D" w:rsidRPr="007531DF" w:rsidTr="00A73882">
        <w:trPr>
          <w:trHeight w:val="945"/>
        </w:trPr>
        <w:tc>
          <w:tcPr>
            <w:tcW w:w="706" w:type="dxa"/>
            <w:tcBorders>
              <w:top w:val="nil"/>
              <w:left w:val="single" w:sz="4" w:space="0" w:color="auto"/>
              <w:bottom w:val="single" w:sz="4" w:space="0" w:color="auto"/>
              <w:right w:val="single" w:sz="4" w:space="0" w:color="auto"/>
            </w:tcBorders>
            <w:shd w:val="clear" w:color="000000" w:fill="FFFFFF"/>
          </w:tcPr>
          <w:p w:rsidR="00737C4D" w:rsidRPr="007531DF" w:rsidRDefault="00737C4D" w:rsidP="00A73882">
            <w:pPr>
              <w:rPr>
                <w:rFonts w:eastAsia="Times New Roman" w:cs="Times New Roman"/>
                <w:lang w:eastAsia="uk-UA"/>
              </w:rPr>
            </w:pPr>
            <w:r w:rsidRPr="007531DF">
              <w:rPr>
                <w:rFonts w:eastAsia="Times New Roman" w:cs="Times New Roman"/>
                <w:lang w:eastAsia="uk-UA"/>
              </w:rPr>
              <w:t>24.</w:t>
            </w:r>
          </w:p>
        </w:tc>
        <w:tc>
          <w:tcPr>
            <w:tcW w:w="4696" w:type="dxa"/>
            <w:tcBorders>
              <w:top w:val="nil"/>
              <w:left w:val="nil"/>
              <w:bottom w:val="single" w:sz="4" w:space="0" w:color="auto"/>
              <w:right w:val="single" w:sz="4" w:space="0" w:color="auto"/>
            </w:tcBorders>
            <w:shd w:val="clear" w:color="000000" w:fill="FFFFFF"/>
            <w:vAlign w:val="center"/>
            <w:hideMark/>
          </w:tcPr>
          <w:p w:rsidR="00737C4D" w:rsidRPr="007531DF" w:rsidRDefault="00737C4D" w:rsidP="00A73882">
            <w:pPr>
              <w:rPr>
                <w:rFonts w:eastAsia="Times New Roman" w:cs="Times New Roman"/>
                <w:lang w:eastAsia="uk-UA"/>
              </w:rPr>
            </w:pPr>
            <w:r w:rsidRPr="007531DF">
              <w:rPr>
                <w:rFonts w:eastAsia="Times New Roman" w:cs="Times New Roman"/>
                <w:lang w:eastAsia="uk-UA"/>
              </w:rPr>
              <w:t xml:space="preserve">Комплексна програма підтримки та розвитку культури міста Івано-Франківська на 2016-2020 роки </w:t>
            </w:r>
            <w:proofErr w:type="gramStart"/>
            <w:r w:rsidRPr="007531DF">
              <w:rPr>
                <w:rFonts w:eastAsia="Times New Roman" w:cs="Times New Roman"/>
                <w:lang w:eastAsia="uk-UA"/>
              </w:rPr>
              <w:t>( п.</w:t>
            </w:r>
            <w:proofErr w:type="gramEnd"/>
            <w:r w:rsidRPr="007531DF">
              <w:rPr>
                <w:rFonts w:eastAsia="Times New Roman" w:cs="Times New Roman"/>
                <w:lang w:eastAsia="uk-UA"/>
              </w:rPr>
              <w:t>4 Засоби масової інформації)</w:t>
            </w:r>
          </w:p>
        </w:tc>
        <w:tc>
          <w:tcPr>
            <w:tcW w:w="1559" w:type="dxa"/>
            <w:tcBorders>
              <w:top w:val="nil"/>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6 210,0</w:t>
            </w:r>
          </w:p>
        </w:tc>
        <w:tc>
          <w:tcPr>
            <w:tcW w:w="1559" w:type="dxa"/>
            <w:tcBorders>
              <w:top w:val="nil"/>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5 695,0</w:t>
            </w:r>
          </w:p>
        </w:tc>
        <w:tc>
          <w:tcPr>
            <w:tcW w:w="1560" w:type="dxa"/>
            <w:tcBorders>
              <w:top w:val="nil"/>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 </w:t>
            </w:r>
          </w:p>
        </w:tc>
        <w:tc>
          <w:tcPr>
            <w:tcW w:w="1636" w:type="dxa"/>
            <w:tcBorders>
              <w:top w:val="nil"/>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 </w:t>
            </w:r>
          </w:p>
        </w:tc>
        <w:tc>
          <w:tcPr>
            <w:tcW w:w="1766" w:type="dxa"/>
            <w:tcBorders>
              <w:top w:val="nil"/>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6 210,0</w:t>
            </w:r>
          </w:p>
        </w:tc>
        <w:tc>
          <w:tcPr>
            <w:tcW w:w="1569" w:type="dxa"/>
            <w:tcBorders>
              <w:top w:val="nil"/>
              <w:left w:val="nil"/>
              <w:bottom w:val="single" w:sz="4" w:space="0" w:color="auto"/>
              <w:right w:val="single" w:sz="8"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5 695,0</w:t>
            </w:r>
          </w:p>
        </w:tc>
      </w:tr>
      <w:tr w:rsidR="00737C4D" w:rsidRPr="007531DF" w:rsidTr="00A73882">
        <w:trPr>
          <w:trHeight w:val="759"/>
        </w:trPr>
        <w:tc>
          <w:tcPr>
            <w:tcW w:w="706" w:type="dxa"/>
            <w:tcBorders>
              <w:top w:val="nil"/>
              <w:left w:val="single" w:sz="4" w:space="0" w:color="auto"/>
              <w:bottom w:val="single" w:sz="4" w:space="0" w:color="auto"/>
              <w:right w:val="single" w:sz="4" w:space="0" w:color="auto"/>
            </w:tcBorders>
            <w:shd w:val="clear" w:color="000000" w:fill="FFFFFF"/>
          </w:tcPr>
          <w:p w:rsidR="00737C4D" w:rsidRPr="007531DF" w:rsidRDefault="00737C4D" w:rsidP="00A73882">
            <w:pPr>
              <w:rPr>
                <w:rFonts w:eastAsia="Times New Roman" w:cs="Times New Roman"/>
                <w:color w:val="000000"/>
                <w:lang w:eastAsia="uk-UA"/>
              </w:rPr>
            </w:pPr>
            <w:r w:rsidRPr="007531DF">
              <w:rPr>
                <w:rFonts w:eastAsia="Times New Roman" w:cs="Times New Roman"/>
                <w:color w:val="000000"/>
                <w:lang w:eastAsia="uk-UA"/>
              </w:rPr>
              <w:t>25.</w:t>
            </w:r>
          </w:p>
        </w:tc>
        <w:tc>
          <w:tcPr>
            <w:tcW w:w="4696" w:type="dxa"/>
            <w:tcBorders>
              <w:top w:val="nil"/>
              <w:left w:val="single" w:sz="4" w:space="0" w:color="auto"/>
              <w:bottom w:val="single" w:sz="4" w:space="0" w:color="000000"/>
              <w:right w:val="single" w:sz="4" w:space="0" w:color="auto"/>
            </w:tcBorders>
            <w:shd w:val="clear" w:color="000000" w:fill="FFFFFF"/>
            <w:vAlign w:val="center"/>
            <w:hideMark/>
          </w:tcPr>
          <w:p w:rsidR="00737C4D" w:rsidRPr="007531DF" w:rsidRDefault="00737C4D" w:rsidP="00A73882">
            <w:pPr>
              <w:rPr>
                <w:rFonts w:eastAsia="Times New Roman" w:cs="Times New Roman"/>
                <w:color w:val="000000"/>
                <w:lang w:eastAsia="uk-UA"/>
              </w:rPr>
            </w:pPr>
            <w:r w:rsidRPr="007531DF">
              <w:rPr>
                <w:rFonts w:eastAsia="Times New Roman" w:cs="Times New Roman"/>
                <w:color w:val="000000"/>
                <w:lang w:eastAsia="uk-UA"/>
              </w:rPr>
              <w:t>Програма розвитку фізичної культури і спорту міста Івано-Франківська на 2019-2022 роки</w:t>
            </w:r>
          </w:p>
        </w:tc>
        <w:tc>
          <w:tcPr>
            <w:tcW w:w="1559" w:type="dxa"/>
            <w:tcBorders>
              <w:top w:val="nil"/>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2635,6</w:t>
            </w:r>
          </w:p>
        </w:tc>
        <w:tc>
          <w:tcPr>
            <w:tcW w:w="1559" w:type="dxa"/>
            <w:tcBorders>
              <w:top w:val="nil"/>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2103,6</w:t>
            </w:r>
          </w:p>
        </w:tc>
        <w:tc>
          <w:tcPr>
            <w:tcW w:w="1560" w:type="dxa"/>
            <w:tcBorders>
              <w:top w:val="nil"/>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 </w:t>
            </w:r>
          </w:p>
        </w:tc>
        <w:tc>
          <w:tcPr>
            <w:tcW w:w="1636" w:type="dxa"/>
            <w:tcBorders>
              <w:top w:val="nil"/>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 </w:t>
            </w:r>
          </w:p>
        </w:tc>
        <w:tc>
          <w:tcPr>
            <w:tcW w:w="1766" w:type="dxa"/>
            <w:tcBorders>
              <w:top w:val="nil"/>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2635,6</w:t>
            </w:r>
          </w:p>
        </w:tc>
        <w:tc>
          <w:tcPr>
            <w:tcW w:w="1569" w:type="dxa"/>
            <w:tcBorders>
              <w:top w:val="nil"/>
              <w:left w:val="nil"/>
              <w:bottom w:val="single" w:sz="4" w:space="0" w:color="auto"/>
              <w:right w:val="single" w:sz="8"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2103,6</w:t>
            </w:r>
          </w:p>
        </w:tc>
      </w:tr>
      <w:tr w:rsidR="00737C4D" w:rsidRPr="007531DF" w:rsidTr="00A73882">
        <w:trPr>
          <w:trHeight w:val="631"/>
        </w:trPr>
        <w:tc>
          <w:tcPr>
            <w:tcW w:w="706" w:type="dxa"/>
            <w:tcBorders>
              <w:top w:val="single" w:sz="4" w:space="0" w:color="auto"/>
              <w:left w:val="single" w:sz="4" w:space="0" w:color="auto"/>
              <w:bottom w:val="single" w:sz="4" w:space="0" w:color="auto"/>
              <w:right w:val="single" w:sz="4" w:space="0" w:color="auto"/>
            </w:tcBorders>
            <w:shd w:val="clear" w:color="000000" w:fill="FFFFFF"/>
          </w:tcPr>
          <w:p w:rsidR="00737C4D" w:rsidRPr="007531DF" w:rsidRDefault="00737C4D" w:rsidP="00A73882">
            <w:pPr>
              <w:rPr>
                <w:rFonts w:eastAsia="Times New Roman" w:cs="Times New Roman"/>
                <w:lang w:eastAsia="uk-UA"/>
              </w:rPr>
            </w:pPr>
            <w:r w:rsidRPr="007531DF">
              <w:rPr>
                <w:rFonts w:eastAsia="Times New Roman" w:cs="Times New Roman"/>
                <w:lang w:eastAsia="uk-UA"/>
              </w:rPr>
              <w:t>26.</w:t>
            </w:r>
          </w:p>
        </w:tc>
        <w:tc>
          <w:tcPr>
            <w:tcW w:w="4696" w:type="dxa"/>
            <w:tcBorders>
              <w:top w:val="nil"/>
              <w:left w:val="single" w:sz="4" w:space="0" w:color="auto"/>
              <w:bottom w:val="single" w:sz="4" w:space="0" w:color="auto"/>
              <w:right w:val="single" w:sz="4" w:space="0" w:color="auto"/>
            </w:tcBorders>
            <w:shd w:val="clear" w:color="000000" w:fill="FFFFFF"/>
            <w:vAlign w:val="center"/>
            <w:hideMark/>
          </w:tcPr>
          <w:p w:rsidR="00737C4D" w:rsidRPr="007531DF" w:rsidRDefault="00737C4D" w:rsidP="00A73882">
            <w:pPr>
              <w:rPr>
                <w:rFonts w:eastAsia="Times New Roman" w:cs="Times New Roman"/>
                <w:lang w:eastAsia="uk-UA"/>
              </w:rPr>
            </w:pPr>
            <w:r w:rsidRPr="007531DF">
              <w:rPr>
                <w:rFonts w:eastAsia="Times New Roman" w:cs="Times New Roman"/>
                <w:lang w:eastAsia="uk-UA"/>
              </w:rPr>
              <w:t>Програма розвитку інвалідного спорту на 2018 - 2023 роки</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932,0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838,8</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 </w:t>
            </w:r>
          </w:p>
        </w:tc>
        <w:tc>
          <w:tcPr>
            <w:tcW w:w="1636" w:type="dxa"/>
            <w:tcBorders>
              <w:top w:val="single" w:sz="4" w:space="0" w:color="auto"/>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 </w:t>
            </w:r>
          </w:p>
        </w:tc>
        <w:tc>
          <w:tcPr>
            <w:tcW w:w="1766" w:type="dxa"/>
            <w:tcBorders>
              <w:top w:val="single" w:sz="4" w:space="0" w:color="auto"/>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932,0</w:t>
            </w:r>
          </w:p>
        </w:tc>
        <w:tc>
          <w:tcPr>
            <w:tcW w:w="1569" w:type="dxa"/>
            <w:tcBorders>
              <w:top w:val="single" w:sz="4" w:space="0" w:color="auto"/>
              <w:left w:val="nil"/>
              <w:bottom w:val="single" w:sz="4" w:space="0" w:color="auto"/>
              <w:right w:val="single" w:sz="8"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838,8</w:t>
            </w:r>
          </w:p>
        </w:tc>
      </w:tr>
      <w:tr w:rsidR="00737C4D" w:rsidRPr="00636522" w:rsidTr="00A73882">
        <w:trPr>
          <w:trHeight w:val="1392"/>
        </w:trPr>
        <w:tc>
          <w:tcPr>
            <w:tcW w:w="706" w:type="dxa"/>
            <w:tcBorders>
              <w:top w:val="single" w:sz="4" w:space="0" w:color="auto"/>
              <w:left w:val="single" w:sz="4" w:space="0" w:color="auto"/>
              <w:bottom w:val="single" w:sz="4" w:space="0" w:color="auto"/>
              <w:right w:val="single" w:sz="4" w:space="0" w:color="auto"/>
            </w:tcBorders>
            <w:shd w:val="clear" w:color="000000" w:fill="FFFFFF"/>
          </w:tcPr>
          <w:p w:rsidR="00737C4D" w:rsidRPr="00636522" w:rsidRDefault="00737C4D" w:rsidP="00A73882">
            <w:pPr>
              <w:rPr>
                <w:rFonts w:eastAsia="Times New Roman" w:cs="Times New Roman"/>
                <w:lang w:eastAsia="uk-UA"/>
              </w:rPr>
            </w:pPr>
            <w:r w:rsidRPr="00636522">
              <w:rPr>
                <w:rFonts w:eastAsia="Times New Roman" w:cs="Times New Roman"/>
                <w:lang w:eastAsia="uk-UA"/>
              </w:rPr>
              <w:t>27.</w:t>
            </w:r>
          </w:p>
        </w:tc>
        <w:tc>
          <w:tcPr>
            <w:tcW w:w="46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37C4D" w:rsidRPr="00636522" w:rsidRDefault="00737C4D" w:rsidP="00A73882">
            <w:pPr>
              <w:rPr>
                <w:rFonts w:eastAsia="Times New Roman" w:cs="Times New Roman"/>
                <w:lang w:eastAsia="uk-UA"/>
              </w:rPr>
            </w:pPr>
            <w:r w:rsidRPr="00636522">
              <w:rPr>
                <w:rFonts w:eastAsia="Times New Roman" w:cs="Times New Roman"/>
                <w:lang w:eastAsia="uk-UA"/>
              </w:rPr>
              <w:t>Програма фінансової підтримки громадських організацій фізкультурно-спортивного спрямування, спортивних клубів та федерацій з видів спорту міста Івано-Франківська на   2015-2019 роки</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21127,4</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18946,3</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76,3</w:t>
            </w:r>
          </w:p>
        </w:tc>
        <w:tc>
          <w:tcPr>
            <w:tcW w:w="1636" w:type="dxa"/>
            <w:tcBorders>
              <w:top w:val="single" w:sz="4" w:space="0" w:color="auto"/>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 </w:t>
            </w:r>
          </w:p>
        </w:tc>
        <w:tc>
          <w:tcPr>
            <w:tcW w:w="1766" w:type="dxa"/>
            <w:tcBorders>
              <w:top w:val="single" w:sz="4" w:space="0" w:color="auto"/>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21203,7</w:t>
            </w:r>
          </w:p>
        </w:tc>
        <w:tc>
          <w:tcPr>
            <w:tcW w:w="1569" w:type="dxa"/>
            <w:tcBorders>
              <w:top w:val="single" w:sz="4" w:space="0" w:color="auto"/>
              <w:left w:val="nil"/>
              <w:bottom w:val="single" w:sz="4" w:space="0" w:color="auto"/>
              <w:right w:val="single" w:sz="8"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18946,3</w:t>
            </w:r>
          </w:p>
        </w:tc>
      </w:tr>
      <w:tr w:rsidR="00737C4D" w:rsidRPr="00636522" w:rsidTr="00A73882">
        <w:trPr>
          <w:trHeight w:val="1260"/>
        </w:trPr>
        <w:tc>
          <w:tcPr>
            <w:tcW w:w="706" w:type="dxa"/>
            <w:tcBorders>
              <w:top w:val="single" w:sz="4" w:space="0" w:color="auto"/>
              <w:left w:val="single" w:sz="4" w:space="0" w:color="auto"/>
              <w:bottom w:val="single" w:sz="4" w:space="0" w:color="auto"/>
              <w:right w:val="single" w:sz="4" w:space="0" w:color="auto"/>
            </w:tcBorders>
            <w:shd w:val="clear" w:color="000000" w:fill="FFFFFF"/>
          </w:tcPr>
          <w:p w:rsidR="00737C4D" w:rsidRPr="00636522" w:rsidRDefault="00737C4D" w:rsidP="00A73882">
            <w:pPr>
              <w:rPr>
                <w:rFonts w:eastAsia="Times New Roman" w:cs="Times New Roman"/>
                <w:lang w:eastAsia="uk-UA"/>
              </w:rPr>
            </w:pPr>
            <w:r w:rsidRPr="00636522">
              <w:rPr>
                <w:rFonts w:eastAsia="Times New Roman" w:cs="Times New Roman"/>
                <w:lang w:eastAsia="uk-UA"/>
              </w:rPr>
              <w:t>28.</w:t>
            </w:r>
          </w:p>
        </w:tc>
        <w:tc>
          <w:tcPr>
            <w:tcW w:w="46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37C4D" w:rsidRPr="00636522" w:rsidRDefault="00737C4D" w:rsidP="00A73882">
            <w:pPr>
              <w:rPr>
                <w:rFonts w:eastAsia="Times New Roman" w:cs="Times New Roman"/>
                <w:lang w:eastAsia="uk-UA"/>
              </w:rPr>
            </w:pPr>
            <w:r w:rsidRPr="00636522">
              <w:rPr>
                <w:rFonts w:eastAsia="Times New Roman" w:cs="Times New Roman"/>
                <w:lang w:eastAsia="uk-UA"/>
              </w:rPr>
              <w:t>Програма</w:t>
            </w:r>
            <w:r w:rsidRPr="00636522">
              <w:rPr>
                <w:rFonts w:ascii="Arial" w:eastAsia="Times New Roman" w:hAnsi="Arial" w:cs="Arial"/>
                <w:lang w:eastAsia="uk-UA"/>
              </w:rPr>
              <w:t> </w:t>
            </w:r>
            <w:r w:rsidRPr="00636522">
              <w:rPr>
                <w:rFonts w:eastAsia="Times New Roman" w:cs="Times New Roman"/>
                <w:lang w:eastAsia="uk-UA"/>
              </w:rPr>
              <w:t>розвитку масового спорту за місцем проживання та у місцях масового відпочинку населення на 2018 - 2023 роки</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765,5</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677,9</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 </w:t>
            </w:r>
          </w:p>
        </w:tc>
        <w:tc>
          <w:tcPr>
            <w:tcW w:w="1636" w:type="dxa"/>
            <w:tcBorders>
              <w:top w:val="single" w:sz="4" w:space="0" w:color="auto"/>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 </w:t>
            </w:r>
          </w:p>
        </w:tc>
        <w:tc>
          <w:tcPr>
            <w:tcW w:w="1766" w:type="dxa"/>
            <w:tcBorders>
              <w:top w:val="single" w:sz="4" w:space="0" w:color="auto"/>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765,5</w:t>
            </w:r>
          </w:p>
        </w:tc>
        <w:tc>
          <w:tcPr>
            <w:tcW w:w="1569" w:type="dxa"/>
            <w:tcBorders>
              <w:top w:val="single" w:sz="4" w:space="0" w:color="auto"/>
              <w:left w:val="nil"/>
              <w:bottom w:val="single" w:sz="4" w:space="0" w:color="auto"/>
              <w:right w:val="single" w:sz="8"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677,9</w:t>
            </w:r>
          </w:p>
        </w:tc>
      </w:tr>
      <w:tr w:rsidR="00737C4D" w:rsidRPr="00636522" w:rsidTr="00A73882">
        <w:trPr>
          <w:trHeight w:val="945"/>
        </w:trPr>
        <w:tc>
          <w:tcPr>
            <w:tcW w:w="706" w:type="dxa"/>
            <w:tcBorders>
              <w:top w:val="nil"/>
              <w:left w:val="single" w:sz="4" w:space="0" w:color="auto"/>
              <w:bottom w:val="single" w:sz="4" w:space="0" w:color="auto"/>
              <w:right w:val="single" w:sz="4" w:space="0" w:color="auto"/>
            </w:tcBorders>
            <w:shd w:val="clear" w:color="000000" w:fill="FFFFFF"/>
          </w:tcPr>
          <w:p w:rsidR="00737C4D" w:rsidRPr="00636522" w:rsidRDefault="00737C4D" w:rsidP="00A73882">
            <w:pPr>
              <w:rPr>
                <w:rFonts w:eastAsia="Times New Roman" w:cs="Times New Roman"/>
                <w:lang w:eastAsia="uk-UA"/>
              </w:rPr>
            </w:pPr>
            <w:r w:rsidRPr="00636522">
              <w:rPr>
                <w:rFonts w:eastAsia="Times New Roman" w:cs="Times New Roman"/>
                <w:lang w:eastAsia="uk-UA"/>
              </w:rPr>
              <w:t>29.</w:t>
            </w:r>
          </w:p>
        </w:tc>
        <w:tc>
          <w:tcPr>
            <w:tcW w:w="4696" w:type="dxa"/>
            <w:tcBorders>
              <w:top w:val="nil"/>
              <w:left w:val="nil"/>
              <w:bottom w:val="single" w:sz="4" w:space="0" w:color="auto"/>
              <w:right w:val="single" w:sz="4" w:space="0" w:color="auto"/>
            </w:tcBorders>
            <w:shd w:val="clear" w:color="000000" w:fill="FFFFFF"/>
            <w:vAlign w:val="center"/>
            <w:hideMark/>
          </w:tcPr>
          <w:p w:rsidR="00737C4D" w:rsidRPr="00636522" w:rsidRDefault="00737C4D" w:rsidP="00A73882">
            <w:pPr>
              <w:rPr>
                <w:rFonts w:eastAsia="Times New Roman" w:cs="Times New Roman"/>
                <w:lang w:eastAsia="uk-UA"/>
              </w:rPr>
            </w:pPr>
            <w:r w:rsidRPr="00636522">
              <w:rPr>
                <w:rFonts w:eastAsia="Times New Roman" w:cs="Times New Roman"/>
                <w:lang w:eastAsia="uk-UA"/>
              </w:rPr>
              <w:t>Програма охорони навколишнього природного середовища міста Івано-Франківська на 2016-2020 роки</w:t>
            </w:r>
          </w:p>
        </w:tc>
        <w:tc>
          <w:tcPr>
            <w:tcW w:w="1559" w:type="dxa"/>
            <w:tcBorders>
              <w:top w:val="nil"/>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415,0</w:t>
            </w:r>
          </w:p>
        </w:tc>
        <w:tc>
          <w:tcPr>
            <w:tcW w:w="1636" w:type="dxa"/>
            <w:tcBorders>
              <w:top w:val="nil"/>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388,9</w:t>
            </w:r>
          </w:p>
        </w:tc>
        <w:tc>
          <w:tcPr>
            <w:tcW w:w="1766" w:type="dxa"/>
            <w:tcBorders>
              <w:top w:val="nil"/>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415,0</w:t>
            </w:r>
          </w:p>
        </w:tc>
        <w:tc>
          <w:tcPr>
            <w:tcW w:w="1569" w:type="dxa"/>
            <w:tcBorders>
              <w:top w:val="nil"/>
              <w:left w:val="nil"/>
              <w:bottom w:val="single" w:sz="4" w:space="0" w:color="auto"/>
              <w:right w:val="single" w:sz="8"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388,9</w:t>
            </w:r>
          </w:p>
        </w:tc>
      </w:tr>
      <w:tr w:rsidR="00737C4D" w:rsidRPr="00636522" w:rsidTr="00A73882">
        <w:trPr>
          <w:trHeight w:val="1260"/>
        </w:trPr>
        <w:tc>
          <w:tcPr>
            <w:tcW w:w="706" w:type="dxa"/>
            <w:tcBorders>
              <w:top w:val="single" w:sz="4" w:space="0" w:color="auto"/>
              <w:left w:val="single" w:sz="4" w:space="0" w:color="auto"/>
              <w:bottom w:val="single" w:sz="4" w:space="0" w:color="auto"/>
              <w:right w:val="single" w:sz="4" w:space="0" w:color="auto"/>
            </w:tcBorders>
            <w:shd w:val="clear" w:color="000000" w:fill="FFFFFF"/>
          </w:tcPr>
          <w:p w:rsidR="00737C4D" w:rsidRPr="00636522" w:rsidRDefault="00737C4D" w:rsidP="00A73882">
            <w:pPr>
              <w:rPr>
                <w:rFonts w:eastAsia="Times New Roman" w:cs="Times New Roman"/>
                <w:lang w:eastAsia="uk-UA"/>
              </w:rPr>
            </w:pPr>
            <w:r w:rsidRPr="00636522">
              <w:rPr>
                <w:rFonts w:eastAsia="Times New Roman" w:cs="Times New Roman"/>
                <w:lang w:eastAsia="uk-UA"/>
              </w:rPr>
              <w:lastRenderedPageBreak/>
              <w:t>30.</w:t>
            </w:r>
          </w:p>
        </w:tc>
        <w:tc>
          <w:tcPr>
            <w:tcW w:w="4696" w:type="dxa"/>
            <w:tcBorders>
              <w:top w:val="single" w:sz="4" w:space="0" w:color="auto"/>
              <w:left w:val="nil"/>
              <w:bottom w:val="single" w:sz="4" w:space="0" w:color="auto"/>
              <w:right w:val="single" w:sz="4" w:space="0" w:color="auto"/>
            </w:tcBorders>
            <w:shd w:val="clear" w:color="000000" w:fill="FFFFFF"/>
            <w:vAlign w:val="center"/>
            <w:hideMark/>
          </w:tcPr>
          <w:p w:rsidR="00737C4D" w:rsidRPr="00636522" w:rsidRDefault="00737C4D" w:rsidP="00A73882">
            <w:pPr>
              <w:rPr>
                <w:rFonts w:eastAsia="Times New Roman" w:cs="Times New Roman"/>
                <w:lang w:eastAsia="uk-UA"/>
              </w:rPr>
            </w:pPr>
            <w:r w:rsidRPr="00636522">
              <w:rPr>
                <w:rFonts w:eastAsia="Times New Roman" w:cs="Times New Roman"/>
                <w:lang w:eastAsia="uk-UA"/>
              </w:rPr>
              <w:t xml:space="preserve">Програма модернізації багатоквартирних житлових будинків </w:t>
            </w:r>
            <w:proofErr w:type="gramStart"/>
            <w:r w:rsidRPr="00636522">
              <w:rPr>
                <w:rFonts w:eastAsia="Times New Roman" w:cs="Times New Roman"/>
                <w:lang w:eastAsia="uk-UA"/>
              </w:rPr>
              <w:t>міста  Івано</w:t>
            </w:r>
            <w:proofErr w:type="gramEnd"/>
            <w:r w:rsidRPr="00636522">
              <w:rPr>
                <w:rFonts w:eastAsia="Times New Roman" w:cs="Times New Roman"/>
                <w:lang w:eastAsia="uk-UA"/>
              </w:rPr>
              <w:t>-Франківська на 2016-2020 роки (КП "Муніципальна інвестиційна управляюча компанія")</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4 250,0</w:t>
            </w:r>
          </w:p>
        </w:tc>
        <w:tc>
          <w:tcPr>
            <w:tcW w:w="1636" w:type="dxa"/>
            <w:tcBorders>
              <w:top w:val="single" w:sz="4" w:space="0" w:color="auto"/>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4 213,0</w:t>
            </w:r>
          </w:p>
        </w:tc>
        <w:tc>
          <w:tcPr>
            <w:tcW w:w="1766" w:type="dxa"/>
            <w:tcBorders>
              <w:top w:val="single" w:sz="4" w:space="0" w:color="auto"/>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4 250,0</w:t>
            </w:r>
          </w:p>
        </w:tc>
        <w:tc>
          <w:tcPr>
            <w:tcW w:w="1569" w:type="dxa"/>
            <w:tcBorders>
              <w:top w:val="single" w:sz="4" w:space="0" w:color="auto"/>
              <w:left w:val="nil"/>
              <w:bottom w:val="single" w:sz="4" w:space="0" w:color="auto"/>
              <w:right w:val="single" w:sz="8"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4 213,0</w:t>
            </w:r>
          </w:p>
        </w:tc>
      </w:tr>
      <w:tr w:rsidR="00737C4D" w:rsidRPr="00636522" w:rsidTr="00A73882">
        <w:trPr>
          <w:trHeight w:val="1260"/>
        </w:trPr>
        <w:tc>
          <w:tcPr>
            <w:tcW w:w="706" w:type="dxa"/>
            <w:tcBorders>
              <w:top w:val="single" w:sz="4" w:space="0" w:color="auto"/>
              <w:left w:val="single" w:sz="4" w:space="0" w:color="auto"/>
              <w:bottom w:val="single" w:sz="4" w:space="0" w:color="auto"/>
              <w:right w:val="single" w:sz="4" w:space="0" w:color="auto"/>
            </w:tcBorders>
            <w:shd w:val="clear" w:color="000000" w:fill="FFFFFF"/>
          </w:tcPr>
          <w:p w:rsidR="00737C4D" w:rsidRPr="00636522" w:rsidRDefault="00737C4D" w:rsidP="00A73882">
            <w:pPr>
              <w:rPr>
                <w:rFonts w:eastAsia="Times New Roman" w:cs="Times New Roman"/>
                <w:lang w:eastAsia="uk-UA"/>
              </w:rPr>
            </w:pPr>
            <w:r w:rsidRPr="00636522">
              <w:rPr>
                <w:rFonts w:eastAsia="Times New Roman" w:cs="Times New Roman"/>
                <w:lang w:eastAsia="uk-UA"/>
              </w:rPr>
              <w:t>31.</w:t>
            </w:r>
          </w:p>
        </w:tc>
        <w:tc>
          <w:tcPr>
            <w:tcW w:w="4696" w:type="dxa"/>
            <w:tcBorders>
              <w:top w:val="single" w:sz="4" w:space="0" w:color="auto"/>
              <w:left w:val="nil"/>
              <w:bottom w:val="single" w:sz="4" w:space="0" w:color="auto"/>
              <w:right w:val="single" w:sz="4" w:space="0" w:color="auto"/>
            </w:tcBorders>
            <w:shd w:val="clear" w:color="000000" w:fill="FFFFFF"/>
            <w:vAlign w:val="center"/>
            <w:hideMark/>
          </w:tcPr>
          <w:p w:rsidR="00737C4D" w:rsidRPr="00636522" w:rsidRDefault="00737C4D" w:rsidP="00A73882">
            <w:pPr>
              <w:rPr>
                <w:rFonts w:eastAsia="Times New Roman" w:cs="Times New Roman"/>
                <w:lang w:eastAsia="uk-UA"/>
              </w:rPr>
            </w:pPr>
            <w:r w:rsidRPr="00636522">
              <w:rPr>
                <w:rFonts w:eastAsia="Times New Roman" w:cs="Times New Roman"/>
                <w:lang w:eastAsia="uk-UA"/>
              </w:rPr>
              <w:t>Програма облаштування прибудинкових територій житлового фонду м. Івано-Франківська на 2016-2020 роки (КП "Муніципальна інвестиційна управляюча компанія")</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1 371,2</w:t>
            </w:r>
          </w:p>
        </w:tc>
        <w:tc>
          <w:tcPr>
            <w:tcW w:w="1636" w:type="dxa"/>
            <w:tcBorders>
              <w:top w:val="single" w:sz="4" w:space="0" w:color="auto"/>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784,0</w:t>
            </w:r>
          </w:p>
        </w:tc>
        <w:tc>
          <w:tcPr>
            <w:tcW w:w="1766" w:type="dxa"/>
            <w:tcBorders>
              <w:top w:val="single" w:sz="4" w:space="0" w:color="auto"/>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1 371,2</w:t>
            </w:r>
          </w:p>
        </w:tc>
        <w:tc>
          <w:tcPr>
            <w:tcW w:w="1569" w:type="dxa"/>
            <w:tcBorders>
              <w:top w:val="single" w:sz="4" w:space="0" w:color="auto"/>
              <w:left w:val="nil"/>
              <w:bottom w:val="single" w:sz="4" w:space="0" w:color="auto"/>
              <w:right w:val="single" w:sz="8"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784,0</w:t>
            </w:r>
          </w:p>
        </w:tc>
      </w:tr>
      <w:tr w:rsidR="00737C4D" w:rsidRPr="00636522" w:rsidTr="00A73882">
        <w:trPr>
          <w:trHeight w:val="945"/>
        </w:trPr>
        <w:tc>
          <w:tcPr>
            <w:tcW w:w="706" w:type="dxa"/>
            <w:tcBorders>
              <w:top w:val="nil"/>
              <w:left w:val="single" w:sz="4" w:space="0" w:color="auto"/>
              <w:bottom w:val="single" w:sz="4" w:space="0" w:color="auto"/>
              <w:right w:val="single" w:sz="4" w:space="0" w:color="auto"/>
            </w:tcBorders>
            <w:shd w:val="clear" w:color="000000" w:fill="FFFFFF"/>
          </w:tcPr>
          <w:p w:rsidR="00737C4D" w:rsidRPr="00636522" w:rsidRDefault="00737C4D" w:rsidP="00A73882">
            <w:pPr>
              <w:rPr>
                <w:rFonts w:eastAsia="Times New Roman" w:cs="Times New Roman"/>
                <w:lang w:eastAsia="uk-UA"/>
              </w:rPr>
            </w:pPr>
            <w:r w:rsidRPr="00636522">
              <w:rPr>
                <w:rFonts w:eastAsia="Times New Roman" w:cs="Times New Roman"/>
                <w:lang w:eastAsia="uk-UA"/>
              </w:rPr>
              <w:t>32.</w:t>
            </w:r>
          </w:p>
        </w:tc>
        <w:tc>
          <w:tcPr>
            <w:tcW w:w="4696" w:type="dxa"/>
            <w:tcBorders>
              <w:top w:val="nil"/>
              <w:left w:val="nil"/>
              <w:bottom w:val="single" w:sz="4" w:space="0" w:color="auto"/>
              <w:right w:val="single" w:sz="4" w:space="0" w:color="auto"/>
            </w:tcBorders>
            <w:shd w:val="clear" w:color="000000" w:fill="FFFFFF"/>
            <w:vAlign w:val="center"/>
            <w:hideMark/>
          </w:tcPr>
          <w:p w:rsidR="00737C4D" w:rsidRPr="00636522" w:rsidRDefault="00737C4D" w:rsidP="00A73882">
            <w:pPr>
              <w:rPr>
                <w:rFonts w:eastAsia="Times New Roman" w:cs="Times New Roman"/>
                <w:lang w:eastAsia="uk-UA"/>
              </w:rPr>
            </w:pPr>
            <w:r w:rsidRPr="00636522">
              <w:rPr>
                <w:rFonts w:eastAsia="Times New Roman" w:cs="Times New Roman"/>
                <w:lang w:eastAsia="uk-UA"/>
              </w:rPr>
              <w:t>Програма облаштування прибудинкових територій житлового фонду м. Івано-Франківська на 2016-2020 роки (КП "Дирекція замовника")</w:t>
            </w:r>
          </w:p>
        </w:tc>
        <w:tc>
          <w:tcPr>
            <w:tcW w:w="1559" w:type="dxa"/>
            <w:tcBorders>
              <w:top w:val="nil"/>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500,0</w:t>
            </w:r>
          </w:p>
        </w:tc>
        <w:tc>
          <w:tcPr>
            <w:tcW w:w="1636" w:type="dxa"/>
            <w:tcBorders>
              <w:top w:val="nil"/>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100,0</w:t>
            </w:r>
          </w:p>
        </w:tc>
        <w:tc>
          <w:tcPr>
            <w:tcW w:w="1766" w:type="dxa"/>
            <w:tcBorders>
              <w:top w:val="nil"/>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500,0</w:t>
            </w:r>
          </w:p>
        </w:tc>
        <w:tc>
          <w:tcPr>
            <w:tcW w:w="1569" w:type="dxa"/>
            <w:tcBorders>
              <w:top w:val="nil"/>
              <w:left w:val="nil"/>
              <w:bottom w:val="single" w:sz="4" w:space="0" w:color="auto"/>
              <w:right w:val="single" w:sz="8"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100,0</w:t>
            </w:r>
          </w:p>
        </w:tc>
      </w:tr>
      <w:tr w:rsidR="00737C4D" w:rsidRPr="00636522" w:rsidTr="00A73882">
        <w:trPr>
          <w:trHeight w:val="945"/>
        </w:trPr>
        <w:tc>
          <w:tcPr>
            <w:tcW w:w="706" w:type="dxa"/>
            <w:tcBorders>
              <w:top w:val="nil"/>
              <w:left w:val="single" w:sz="4" w:space="0" w:color="auto"/>
              <w:bottom w:val="single" w:sz="4" w:space="0" w:color="auto"/>
              <w:right w:val="single" w:sz="4" w:space="0" w:color="auto"/>
            </w:tcBorders>
            <w:shd w:val="clear" w:color="000000" w:fill="FFFFFF"/>
          </w:tcPr>
          <w:p w:rsidR="00737C4D" w:rsidRPr="00636522" w:rsidRDefault="00737C4D" w:rsidP="00A73882">
            <w:pPr>
              <w:rPr>
                <w:rFonts w:eastAsia="Times New Roman" w:cs="Times New Roman"/>
                <w:lang w:eastAsia="uk-UA"/>
              </w:rPr>
            </w:pPr>
            <w:r w:rsidRPr="00636522">
              <w:rPr>
                <w:rFonts w:eastAsia="Times New Roman" w:cs="Times New Roman"/>
                <w:lang w:eastAsia="uk-UA"/>
              </w:rPr>
              <w:t>33.</w:t>
            </w:r>
          </w:p>
        </w:tc>
        <w:tc>
          <w:tcPr>
            <w:tcW w:w="4696" w:type="dxa"/>
            <w:tcBorders>
              <w:top w:val="nil"/>
              <w:left w:val="nil"/>
              <w:bottom w:val="single" w:sz="4" w:space="0" w:color="auto"/>
              <w:right w:val="single" w:sz="4" w:space="0" w:color="auto"/>
            </w:tcBorders>
            <w:shd w:val="clear" w:color="000000" w:fill="FFFFFF"/>
            <w:vAlign w:val="center"/>
            <w:hideMark/>
          </w:tcPr>
          <w:p w:rsidR="00737C4D" w:rsidRPr="00636522" w:rsidRDefault="00737C4D" w:rsidP="00A73882">
            <w:pPr>
              <w:rPr>
                <w:rFonts w:eastAsia="Times New Roman" w:cs="Times New Roman"/>
                <w:lang w:eastAsia="uk-UA"/>
              </w:rPr>
            </w:pPr>
            <w:r w:rsidRPr="00636522">
              <w:rPr>
                <w:rFonts w:eastAsia="Times New Roman" w:cs="Times New Roman"/>
                <w:lang w:eastAsia="uk-UA"/>
              </w:rPr>
              <w:t xml:space="preserve">Програма модернізації багатоквартирних житлових будинків </w:t>
            </w:r>
            <w:proofErr w:type="gramStart"/>
            <w:r w:rsidRPr="00636522">
              <w:rPr>
                <w:rFonts w:eastAsia="Times New Roman" w:cs="Times New Roman"/>
                <w:lang w:eastAsia="uk-UA"/>
              </w:rPr>
              <w:t>міста  Івано</w:t>
            </w:r>
            <w:proofErr w:type="gramEnd"/>
            <w:r w:rsidRPr="00636522">
              <w:rPr>
                <w:rFonts w:eastAsia="Times New Roman" w:cs="Times New Roman"/>
                <w:lang w:eastAsia="uk-UA"/>
              </w:rPr>
              <w:t>-Франківська на 2016-2020 роки (КП "Дирекція замовника")</w:t>
            </w:r>
          </w:p>
        </w:tc>
        <w:tc>
          <w:tcPr>
            <w:tcW w:w="1559" w:type="dxa"/>
            <w:tcBorders>
              <w:top w:val="nil"/>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2 790,0</w:t>
            </w:r>
          </w:p>
        </w:tc>
        <w:tc>
          <w:tcPr>
            <w:tcW w:w="1636" w:type="dxa"/>
            <w:tcBorders>
              <w:top w:val="nil"/>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1 765,7</w:t>
            </w:r>
          </w:p>
        </w:tc>
        <w:tc>
          <w:tcPr>
            <w:tcW w:w="1766" w:type="dxa"/>
            <w:tcBorders>
              <w:top w:val="nil"/>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2 790,0</w:t>
            </w:r>
          </w:p>
        </w:tc>
        <w:tc>
          <w:tcPr>
            <w:tcW w:w="1569" w:type="dxa"/>
            <w:tcBorders>
              <w:top w:val="nil"/>
              <w:left w:val="nil"/>
              <w:bottom w:val="single" w:sz="4" w:space="0" w:color="auto"/>
              <w:right w:val="single" w:sz="8"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1 765,7</w:t>
            </w:r>
          </w:p>
        </w:tc>
      </w:tr>
      <w:tr w:rsidR="00737C4D" w:rsidRPr="00636522" w:rsidTr="00A73882">
        <w:trPr>
          <w:trHeight w:val="1575"/>
        </w:trPr>
        <w:tc>
          <w:tcPr>
            <w:tcW w:w="706" w:type="dxa"/>
            <w:tcBorders>
              <w:top w:val="nil"/>
              <w:left w:val="single" w:sz="4" w:space="0" w:color="auto"/>
              <w:bottom w:val="single" w:sz="4" w:space="0" w:color="auto"/>
              <w:right w:val="single" w:sz="4" w:space="0" w:color="auto"/>
            </w:tcBorders>
            <w:shd w:val="clear" w:color="000000" w:fill="FFFFFF"/>
          </w:tcPr>
          <w:p w:rsidR="00737C4D" w:rsidRPr="00636522" w:rsidRDefault="00737C4D" w:rsidP="00A73882">
            <w:pPr>
              <w:rPr>
                <w:rFonts w:eastAsia="Times New Roman" w:cs="Times New Roman"/>
                <w:lang w:eastAsia="uk-UA"/>
              </w:rPr>
            </w:pPr>
            <w:r w:rsidRPr="00636522">
              <w:rPr>
                <w:rFonts w:eastAsia="Times New Roman" w:cs="Times New Roman"/>
                <w:lang w:eastAsia="uk-UA"/>
              </w:rPr>
              <w:t>34.</w:t>
            </w:r>
          </w:p>
        </w:tc>
        <w:tc>
          <w:tcPr>
            <w:tcW w:w="4696" w:type="dxa"/>
            <w:tcBorders>
              <w:top w:val="nil"/>
              <w:left w:val="nil"/>
              <w:bottom w:val="single" w:sz="4" w:space="0" w:color="auto"/>
              <w:right w:val="single" w:sz="4" w:space="0" w:color="auto"/>
            </w:tcBorders>
            <w:shd w:val="clear" w:color="000000" w:fill="FFFFFF"/>
            <w:vAlign w:val="center"/>
            <w:hideMark/>
          </w:tcPr>
          <w:p w:rsidR="00737C4D" w:rsidRPr="00636522" w:rsidRDefault="00737C4D" w:rsidP="00A45FDE">
            <w:pPr>
              <w:rPr>
                <w:rFonts w:eastAsia="Times New Roman" w:cs="Times New Roman"/>
                <w:lang w:eastAsia="uk-UA"/>
              </w:rPr>
            </w:pPr>
            <w:r w:rsidRPr="00636522">
              <w:rPr>
                <w:rFonts w:eastAsia="Times New Roman" w:cs="Times New Roman"/>
                <w:lang w:eastAsia="uk-UA"/>
              </w:rPr>
              <w:t>Програма будівництва, реконструкції, капітального ремонту малих архітектурних форм дитячих спортивних та ігрових майданчиків в мікрорайонах та освітніх закладах м. Івано-Франківська на 2017-2020</w:t>
            </w:r>
            <w:r w:rsidR="00A45FDE" w:rsidRPr="00615AF4">
              <w:rPr>
                <w:rFonts w:eastAsia="Times New Roman" w:cs="Times New Roman"/>
                <w:lang w:eastAsia="uk-UA"/>
              </w:rPr>
              <w:t xml:space="preserve"> </w:t>
            </w:r>
            <w:proofErr w:type="gramStart"/>
            <w:r w:rsidR="00A45FDE" w:rsidRPr="00615AF4">
              <w:rPr>
                <w:rFonts w:eastAsia="Times New Roman" w:cs="Times New Roman"/>
                <w:lang w:eastAsia="uk-UA"/>
              </w:rPr>
              <w:t xml:space="preserve">рр.  </w:t>
            </w:r>
            <w:r w:rsidRPr="00636522">
              <w:rPr>
                <w:rFonts w:eastAsia="Times New Roman" w:cs="Times New Roman"/>
                <w:lang w:eastAsia="uk-UA"/>
              </w:rPr>
              <w:t xml:space="preserve"> </w:t>
            </w:r>
            <w:proofErr w:type="gramEnd"/>
          </w:p>
        </w:tc>
        <w:tc>
          <w:tcPr>
            <w:tcW w:w="1559" w:type="dxa"/>
            <w:tcBorders>
              <w:top w:val="nil"/>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b/>
                <w:bCs/>
                <w:lang w:eastAsia="uk-UA"/>
              </w:rPr>
            </w:pPr>
            <w:r w:rsidRPr="00615AF4">
              <w:rPr>
                <w:rFonts w:eastAsia="Times New Roman" w:cs="Times New Roman"/>
                <w:b/>
                <w:bCs/>
                <w:lang w:eastAsia="uk-UA"/>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b/>
                <w:bCs/>
                <w:lang w:eastAsia="uk-UA"/>
              </w:rPr>
            </w:pPr>
            <w:r w:rsidRPr="00615AF4">
              <w:rPr>
                <w:rFonts w:eastAsia="Times New Roman" w:cs="Times New Roman"/>
                <w:b/>
                <w:bCs/>
                <w:lang w:eastAsia="uk-UA"/>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4 795,0</w:t>
            </w:r>
          </w:p>
        </w:tc>
        <w:tc>
          <w:tcPr>
            <w:tcW w:w="1636" w:type="dxa"/>
            <w:tcBorders>
              <w:top w:val="nil"/>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1 720,8</w:t>
            </w:r>
          </w:p>
        </w:tc>
        <w:tc>
          <w:tcPr>
            <w:tcW w:w="1766" w:type="dxa"/>
            <w:tcBorders>
              <w:top w:val="nil"/>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4 795,0</w:t>
            </w:r>
          </w:p>
        </w:tc>
        <w:tc>
          <w:tcPr>
            <w:tcW w:w="1569" w:type="dxa"/>
            <w:tcBorders>
              <w:top w:val="nil"/>
              <w:left w:val="nil"/>
              <w:bottom w:val="single" w:sz="4" w:space="0" w:color="auto"/>
              <w:right w:val="single" w:sz="8"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1 720,8</w:t>
            </w:r>
          </w:p>
        </w:tc>
      </w:tr>
      <w:tr w:rsidR="00737C4D" w:rsidRPr="00636522" w:rsidTr="00A73882">
        <w:trPr>
          <w:trHeight w:val="1260"/>
        </w:trPr>
        <w:tc>
          <w:tcPr>
            <w:tcW w:w="706" w:type="dxa"/>
            <w:tcBorders>
              <w:top w:val="nil"/>
              <w:left w:val="single" w:sz="4" w:space="0" w:color="auto"/>
              <w:bottom w:val="single" w:sz="4" w:space="0" w:color="auto"/>
              <w:right w:val="single" w:sz="4" w:space="0" w:color="auto"/>
            </w:tcBorders>
            <w:shd w:val="clear" w:color="000000" w:fill="FFFFFF"/>
          </w:tcPr>
          <w:p w:rsidR="00737C4D" w:rsidRPr="00636522" w:rsidRDefault="00737C4D" w:rsidP="00A73882">
            <w:pPr>
              <w:rPr>
                <w:rFonts w:eastAsia="Times New Roman" w:cs="Times New Roman"/>
                <w:lang w:eastAsia="uk-UA"/>
              </w:rPr>
            </w:pPr>
            <w:r w:rsidRPr="00636522">
              <w:rPr>
                <w:rFonts w:eastAsia="Times New Roman" w:cs="Times New Roman"/>
                <w:lang w:eastAsia="uk-UA"/>
              </w:rPr>
              <w:lastRenderedPageBreak/>
              <w:t>35.</w:t>
            </w:r>
          </w:p>
        </w:tc>
        <w:tc>
          <w:tcPr>
            <w:tcW w:w="4696" w:type="dxa"/>
            <w:tcBorders>
              <w:top w:val="nil"/>
              <w:left w:val="nil"/>
              <w:bottom w:val="single" w:sz="4" w:space="0" w:color="auto"/>
              <w:right w:val="single" w:sz="4" w:space="0" w:color="auto"/>
            </w:tcBorders>
            <w:shd w:val="clear" w:color="000000" w:fill="FFFFFF"/>
            <w:vAlign w:val="center"/>
            <w:hideMark/>
          </w:tcPr>
          <w:p w:rsidR="00737C4D" w:rsidRPr="00636522" w:rsidRDefault="00737C4D" w:rsidP="00A45FDE">
            <w:pPr>
              <w:rPr>
                <w:rFonts w:eastAsia="Times New Roman" w:cs="Times New Roman"/>
                <w:lang w:eastAsia="uk-UA"/>
              </w:rPr>
            </w:pPr>
            <w:r w:rsidRPr="00636522">
              <w:rPr>
                <w:rFonts w:eastAsia="Times New Roman" w:cs="Times New Roman"/>
                <w:lang w:eastAsia="uk-UA"/>
              </w:rPr>
              <w:t xml:space="preserve">Програма цільового використання коштів, що надходять у порядку відшкодування втрат сільськогосподарського і лісогосподарського виробництва на 2015-2020 </w:t>
            </w:r>
            <w:proofErr w:type="gramStart"/>
            <w:r w:rsidR="00A45FDE" w:rsidRPr="00615AF4">
              <w:rPr>
                <w:rFonts w:eastAsia="Times New Roman" w:cs="Times New Roman"/>
                <w:lang w:eastAsia="uk-UA"/>
              </w:rPr>
              <w:t xml:space="preserve">рр.  </w:t>
            </w:r>
            <w:proofErr w:type="gramEnd"/>
          </w:p>
        </w:tc>
        <w:tc>
          <w:tcPr>
            <w:tcW w:w="1559" w:type="dxa"/>
            <w:tcBorders>
              <w:top w:val="nil"/>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5,0</w:t>
            </w:r>
          </w:p>
        </w:tc>
        <w:tc>
          <w:tcPr>
            <w:tcW w:w="1636" w:type="dxa"/>
            <w:tcBorders>
              <w:top w:val="nil"/>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 </w:t>
            </w:r>
          </w:p>
        </w:tc>
        <w:tc>
          <w:tcPr>
            <w:tcW w:w="1766" w:type="dxa"/>
            <w:tcBorders>
              <w:top w:val="nil"/>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5,0</w:t>
            </w:r>
          </w:p>
        </w:tc>
        <w:tc>
          <w:tcPr>
            <w:tcW w:w="1569" w:type="dxa"/>
            <w:tcBorders>
              <w:top w:val="nil"/>
              <w:left w:val="nil"/>
              <w:bottom w:val="single" w:sz="4" w:space="0" w:color="auto"/>
              <w:right w:val="single" w:sz="8"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0,0</w:t>
            </w:r>
          </w:p>
        </w:tc>
      </w:tr>
      <w:tr w:rsidR="00737C4D" w:rsidRPr="00615AF4" w:rsidTr="00A73882">
        <w:trPr>
          <w:trHeight w:val="630"/>
        </w:trPr>
        <w:tc>
          <w:tcPr>
            <w:tcW w:w="706" w:type="dxa"/>
            <w:tcBorders>
              <w:top w:val="single" w:sz="4" w:space="0" w:color="auto"/>
              <w:left w:val="single" w:sz="4" w:space="0" w:color="auto"/>
              <w:bottom w:val="single" w:sz="4" w:space="0" w:color="auto"/>
              <w:right w:val="single" w:sz="4" w:space="0" w:color="auto"/>
            </w:tcBorders>
            <w:shd w:val="clear" w:color="000000" w:fill="FFFFFF"/>
          </w:tcPr>
          <w:p w:rsidR="00737C4D" w:rsidRPr="00615AF4" w:rsidRDefault="00737C4D" w:rsidP="00A73882">
            <w:pPr>
              <w:rPr>
                <w:rFonts w:eastAsia="Times New Roman" w:cs="Times New Roman"/>
                <w:color w:val="000000"/>
                <w:lang w:eastAsia="uk-UA"/>
              </w:rPr>
            </w:pPr>
            <w:r w:rsidRPr="00615AF4">
              <w:rPr>
                <w:rFonts w:eastAsia="Times New Roman" w:cs="Times New Roman"/>
                <w:color w:val="000000"/>
                <w:lang w:eastAsia="uk-UA"/>
              </w:rPr>
              <w:t>36.</w:t>
            </w:r>
          </w:p>
        </w:tc>
        <w:tc>
          <w:tcPr>
            <w:tcW w:w="4696" w:type="dxa"/>
            <w:tcBorders>
              <w:top w:val="single" w:sz="4" w:space="0" w:color="auto"/>
              <w:left w:val="nil"/>
              <w:bottom w:val="single" w:sz="4" w:space="0" w:color="auto"/>
              <w:right w:val="single" w:sz="4" w:space="0" w:color="auto"/>
            </w:tcBorders>
            <w:shd w:val="clear" w:color="000000" w:fill="FFFFFF"/>
            <w:vAlign w:val="center"/>
            <w:hideMark/>
          </w:tcPr>
          <w:p w:rsidR="00737C4D" w:rsidRPr="00615AF4" w:rsidRDefault="00737C4D" w:rsidP="00A73882">
            <w:pPr>
              <w:rPr>
                <w:rFonts w:eastAsia="Times New Roman" w:cs="Times New Roman"/>
                <w:color w:val="000000"/>
                <w:lang w:eastAsia="uk-UA"/>
              </w:rPr>
            </w:pPr>
            <w:r w:rsidRPr="00615AF4">
              <w:rPr>
                <w:rFonts w:eastAsia="Times New Roman" w:cs="Times New Roman"/>
                <w:color w:val="000000"/>
                <w:lang w:eastAsia="uk-UA"/>
              </w:rPr>
              <w:t>Програма охорони культурної спадщини міста Івано-Франківська на 2019-2021 роки</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6500,0</w:t>
            </w:r>
          </w:p>
        </w:tc>
        <w:tc>
          <w:tcPr>
            <w:tcW w:w="1636" w:type="dxa"/>
            <w:tcBorders>
              <w:top w:val="single" w:sz="4" w:space="0" w:color="auto"/>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1413,5</w:t>
            </w:r>
          </w:p>
        </w:tc>
        <w:tc>
          <w:tcPr>
            <w:tcW w:w="1766" w:type="dxa"/>
            <w:tcBorders>
              <w:top w:val="single" w:sz="4" w:space="0" w:color="auto"/>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6500,0</w:t>
            </w:r>
          </w:p>
        </w:tc>
        <w:tc>
          <w:tcPr>
            <w:tcW w:w="1569" w:type="dxa"/>
            <w:tcBorders>
              <w:top w:val="single" w:sz="4" w:space="0" w:color="auto"/>
              <w:left w:val="nil"/>
              <w:bottom w:val="single" w:sz="4" w:space="0" w:color="auto"/>
              <w:right w:val="single" w:sz="8"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1413,5</w:t>
            </w:r>
          </w:p>
        </w:tc>
      </w:tr>
      <w:tr w:rsidR="00737C4D" w:rsidRPr="00615AF4" w:rsidTr="00A73882">
        <w:trPr>
          <w:trHeight w:val="630"/>
        </w:trPr>
        <w:tc>
          <w:tcPr>
            <w:tcW w:w="706" w:type="dxa"/>
            <w:tcBorders>
              <w:top w:val="single" w:sz="4" w:space="0" w:color="auto"/>
              <w:left w:val="single" w:sz="4" w:space="0" w:color="auto"/>
              <w:bottom w:val="single" w:sz="4" w:space="0" w:color="auto"/>
              <w:right w:val="single" w:sz="4" w:space="0" w:color="auto"/>
            </w:tcBorders>
            <w:shd w:val="clear" w:color="000000" w:fill="FFFFFF"/>
          </w:tcPr>
          <w:p w:rsidR="00737C4D" w:rsidRPr="00615AF4" w:rsidRDefault="00737C4D" w:rsidP="00A73882">
            <w:pPr>
              <w:rPr>
                <w:rFonts w:eastAsia="Times New Roman" w:cs="Times New Roman"/>
                <w:color w:val="000000"/>
                <w:lang w:eastAsia="uk-UA"/>
              </w:rPr>
            </w:pPr>
            <w:r w:rsidRPr="00615AF4">
              <w:rPr>
                <w:rFonts w:eastAsia="Times New Roman" w:cs="Times New Roman"/>
                <w:color w:val="000000"/>
                <w:lang w:eastAsia="uk-UA"/>
              </w:rPr>
              <w:t>37.</w:t>
            </w:r>
          </w:p>
        </w:tc>
        <w:tc>
          <w:tcPr>
            <w:tcW w:w="4696" w:type="dxa"/>
            <w:tcBorders>
              <w:top w:val="single" w:sz="4" w:space="0" w:color="auto"/>
              <w:left w:val="nil"/>
              <w:bottom w:val="single" w:sz="4" w:space="0" w:color="auto"/>
              <w:right w:val="single" w:sz="4" w:space="0" w:color="auto"/>
            </w:tcBorders>
            <w:shd w:val="clear" w:color="000000" w:fill="FFFFFF"/>
            <w:vAlign w:val="center"/>
            <w:hideMark/>
          </w:tcPr>
          <w:p w:rsidR="00737C4D" w:rsidRPr="00615AF4" w:rsidRDefault="00737C4D" w:rsidP="00A73882">
            <w:pPr>
              <w:rPr>
                <w:rFonts w:eastAsia="Times New Roman" w:cs="Times New Roman"/>
                <w:color w:val="000000"/>
                <w:lang w:eastAsia="uk-UA"/>
              </w:rPr>
            </w:pPr>
            <w:r w:rsidRPr="00615AF4">
              <w:rPr>
                <w:rFonts w:eastAsia="Times New Roman" w:cs="Times New Roman"/>
                <w:color w:val="000000"/>
                <w:lang w:eastAsia="uk-UA"/>
              </w:rPr>
              <w:t>Програма економічного і соціального розвитку міста Івано-Франківська на 2019-</w:t>
            </w:r>
            <w:proofErr w:type="gramStart"/>
            <w:r w:rsidRPr="00615AF4">
              <w:rPr>
                <w:rFonts w:eastAsia="Times New Roman" w:cs="Times New Roman"/>
                <w:color w:val="000000"/>
                <w:lang w:eastAsia="uk-UA"/>
              </w:rPr>
              <w:t>2020  роки</w:t>
            </w:r>
            <w:proofErr w:type="gramEnd"/>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1 380,0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1 214,8</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 </w:t>
            </w:r>
          </w:p>
        </w:tc>
        <w:tc>
          <w:tcPr>
            <w:tcW w:w="1636" w:type="dxa"/>
            <w:tcBorders>
              <w:top w:val="single" w:sz="4" w:space="0" w:color="auto"/>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 </w:t>
            </w:r>
          </w:p>
        </w:tc>
        <w:tc>
          <w:tcPr>
            <w:tcW w:w="1766" w:type="dxa"/>
            <w:tcBorders>
              <w:top w:val="single" w:sz="4" w:space="0" w:color="auto"/>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1 380,0</w:t>
            </w:r>
          </w:p>
        </w:tc>
        <w:tc>
          <w:tcPr>
            <w:tcW w:w="1569" w:type="dxa"/>
            <w:tcBorders>
              <w:top w:val="single" w:sz="4" w:space="0" w:color="auto"/>
              <w:left w:val="nil"/>
              <w:bottom w:val="single" w:sz="4" w:space="0" w:color="auto"/>
              <w:right w:val="single" w:sz="8"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1 214,8</w:t>
            </w:r>
          </w:p>
        </w:tc>
      </w:tr>
      <w:tr w:rsidR="00737C4D" w:rsidRPr="00615AF4" w:rsidTr="00A73882">
        <w:trPr>
          <w:trHeight w:val="945"/>
        </w:trPr>
        <w:tc>
          <w:tcPr>
            <w:tcW w:w="706" w:type="dxa"/>
            <w:tcBorders>
              <w:top w:val="nil"/>
              <w:left w:val="single" w:sz="4" w:space="0" w:color="auto"/>
              <w:bottom w:val="single" w:sz="4" w:space="0" w:color="auto"/>
              <w:right w:val="single" w:sz="4" w:space="0" w:color="auto"/>
            </w:tcBorders>
            <w:shd w:val="clear" w:color="000000" w:fill="FFFFFF"/>
          </w:tcPr>
          <w:p w:rsidR="00737C4D" w:rsidRPr="00615AF4" w:rsidRDefault="00737C4D" w:rsidP="00A73882">
            <w:pPr>
              <w:rPr>
                <w:rFonts w:eastAsia="Times New Roman" w:cs="Times New Roman"/>
                <w:color w:val="000000"/>
                <w:lang w:eastAsia="uk-UA"/>
              </w:rPr>
            </w:pPr>
            <w:r w:rsidRPr="00615AF4">
              <w:rPr>
                <w:rFonts w:eastAsia="Times New Roman" w:cs="Times New Roman"/>
                <w:color w:val="000000"/>
                <w:lang w:eastAsia="uk-UA"/>
              </w:rPr>
              <w:t>38.</w:t>
            </w:r>
          </w:p>
        </w:tc>
        <w:tc>
          <w:tcPr>
            <w:tcW w:w="4696" w:type="dxa"/>
            <w:tcBorders>
              <w:top w:val="nil"/>
              <w:left w:val="nil"/>
              <w:bottom w:val="single" w:sz="4" w:space="0" w:color="auto"/>
              <w:right w:val="single" w:sz="4" w:space="0" w:color="auto"/>
            </w:tcBorders>
            <w:shd w:val="clear" w:color="000000" w:fill="FFFFFF"/>
            <w:vAlign w:val="center"/>
            <w:hideMark/>
          </w:tcPr>
          <w:p w:rsidR="00737C4D" w:rsidRPr="00615AF4" w:rsidRDefault="00737C4D" w:rsidP="00A45FDE">
            <w:pPr>
              <w:rPr>
                <w:rFonts w:eastAsia="Times New Roman" w:cs="Times New Roman"/>
                <w:color w:val="000000"/>
                <w:lang w:eastAsia="uk-UA"/>
              </w:rPr>
            </w:pPr>
            <w:r w:rsidRPr="00615AF4">
              <w:rPr>
                <w:rFonts w:eastAsia="Times New Roman" w:cs="Times New Roman"/>
                <w:color w:val="000000"/>
                <w:lang w:eastAsia="uk-UA"/>
              </w:rPr>
              <w:t xml:space="preserve">Програма посилення конкурентоспроможності малого і середнього підприємництва у м. Івано-Франківську на 2019-2021 </w:t>
            </w:r>
            <w:proofErr w:type="gramStart"/>
            <w:r w:rsidR="00A45FDE" w:rsidRPr="00615AF4">
              <w:rPr>
                <w:rFonts w:eastAsia="Times New Roman" w:cs="Times New Roman"/>
                <w:lang w:eastAsia="uk-UA"/>
              </w:rPr>
              <w:t xml:space="preserve">рр.  </w:t>
            </w:r>
            <w:proofErr w:type="gramEnd"/>
          </w:p>
        </w:tc>
        <w:tc>
          <w:tcPr>
            <w:tcW w:w="1559" w:type="dxa"/>
            <w:tcBorders>
              <w:top w:val="nil"/>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761,0</w:t>
            </w:r>
          </w:p>
        </w:tc>
        <w:tc>
          <w:tcPr>
            <w:tcW w:w="1559" w:type="dxa"/>
            <w:tcBorders>
              <w:top w:val="nil"/>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302,3</w:t>
            </w:r>
          </w:p>
        </w:tc>
        <w:tc>
          <w:tcPr>
            <w:tcW w:w="1560" w:type="dxa"/>
            <w:tcBorders>
              <w:top w:val="nil"/>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 </w:t>
            </w:r>
          </w:p>
        </w:tc>
        <w:tc>
          <w:tcPr>
            <w:tcW w:w="1636" w:type="dxa"/>
            <w:tcBorders>
              <w:top w:val="nil"/>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 </w:t>
            </w:r>
          </w:p>
        </w:tc>
        <w:tc>
          <w:tcPr>
            <w:tcW w:w="1766" w:type="dxa"/>
            <w:tcBorders>
              <w:top w:val="nil"/>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761,0</w:t>
            </w:r>
          </w:p>
        </w:tc>
        <w:tc>
          <w:tcPr>
            <w:tcW w:w="1569" w:type="dxa"/>
            <w:tcBorders>
              <w:top w:val="nil"/>
              <w:left w:val="nil"/>
              <w:bottom w:val="single" w:sz="4" w:space="0" w:color="auto"/>
              <w:right w:val="single" w:sz="8"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302,3</w:t>
            </w:r>
          </w:p>
        </w:tc>
      </w:tr>
      <w:tr w:rsidR="00737C4D" w:rsidRPr="00615AF4" w:rsidTr="00A73882">
        <w:trPr>
          <w:trHeight w:val="630"/>
        </w:trPr>
        <w:tc>
          <w:tcPr>
            <w:tcW w:w="706" w:type="dxa"/>
            <w:tcBorders>
              <w:top w:val="nil"/>
              <w:left w:val="single" w:sz="4" w:space="0" w:color="auto"/>
              <w:bottom w:val="single" w:sz="4" w:space="0" w:color="auto"/>
              <w:right w:val="single" w:sz="4" w:space="0" w:color="auto"/>
            </w:tcBorders>
            <w:shd w:val="clear" w:color="000000" w:fill="FFFFFF"/>
          </w:tcPr>
          <w:p w:rsidR="00737C4D" w:rsidRPr="00615AF4" w:rsidRDefault="00737C4D" w:rsidP="00A73882">
            <w:pPr>
              <w:rPr>
                <w:rFonts w:eastAsia="Times New Roman" w:cs="Times New Roman"/>
                <w:lang w:eastAsia="uk-UA"/>
              </w:rPr>
            </w:pPr>
            <w:r w:rsidRPr="00615AF4">
              <w:rPr>
                <w:rFonts w:eastAsia="Times New Roman" w:cs="Times New Roman"/>
                <w:lang w:eastAsia="uk-UA"/>
              </w:rPr>
              <w:t>39.</w:t>
            </w:r>
          </w:p>
        </w:tc>
        <w:tc>
          <w:tcPr>
            <w:tcW w:w="4696" w:type="dxa"/>
            <w:tcBorders>
              <w:top w:val="nil"/>
              <w:left w:val="nil"/>
              <w:bottom w:val="single" w:sz="4" w:space="0" w:color="auto"/>
              <w:right w:val="single" w:sz="4" w:space="0" w:color="auto"/>
            </w:tcBorders>
            <w:shd w:val="clear" w:color="000000" w:fill="FFFFFF"/>
            <w:vAlign w:val="center"/>
            <w:hideMark/>
          </w:tcPr>
          <w:p w:rsidR="00737C4D" w:rsidRPr="00615AF4" w:rsidRDefault="00737C4D" w:rsidP="00A73882">
            <w:pPr>
              <w:rPr>
                <w:rFonts w:eastAsia="Times New Roman" w:cs="Times New Roman"/>
                <w:lang w:eastAsia="uk-UA"/>
              </w:rPr>
            </w:pPr>
            <w:proofErr w:type="gramStart"/>
            <w:r w:rsidRPr="00615AF4">
              <w:rPr>
                <w:rFonts w:eastAsia="Times New Roman" w:cs="Times New Roman"/>
                <w:lang w:eastAsia="uk-UA"/>
              </w:rPr>
              <w:t>Програма  розвитку</w:t>
            </w:r>
            <w:proofErr w:type="gramEnd"/>
            <w:r w:rsidRPr="00615AF4">
              <w:rPr>
                <w:rFonts w:eastAsia="Times New Roman" w:cs="Times New Roman"/>
                <w:lang w:eastAsia="uk-UA"/>
              </w:rPr>
              <w:t xml:space="preserve"> туристичної галузі міста Івано-Франківська на 2016-2020  роки</w:t>
            </w:r>
          </w:p>
        </w:tc>
        <w:tc>
          <w:tcPr>
            <w:tcW w:w="1559" w:type="dxa"/>
            <w:tcBorders>
              <w:top w:val="nil"/>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632,0</w:t>
            </w:r>
          </w:p>
        </w:tc>
        <w:tc>
          <w:tcPr>
            <w:tcW w:w="1559" w:type="dxa"/>
            <w:tcBorders>
              <w:top w:val="nil"/>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415,1</w:t>
            </w:r>
          </w:p>
        </w:tc>
        <w:tc>
          <w:tcPr>
            <w:tcW w:w="1560" w:type="dxa"/>
            <w:tcBorders>
              <w:top w:val="nil"/>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 </w:t>
            </w:r>
          </w:p>
        </w:tc>
        <w:tc>
          <w:tcPr>
            <w:tcW w:w="1636" w:type="dxa"/>
            <w:tcBorders>
              <w:top w:val="nil"/>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 </w:t>
            </w:r>
          </w:p>
        </w:tc>
        <w:tc>
          <w:tcPr>
            <w:tcW w:w="1766" w:type="dxa"/>
            <w:tcBorders>
              <w:top w:val="nil"/>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632,0</w:t>
            </w:r>
          </w:p>
        </w:tc>
        <w:tc>
          <w:tcPr>
            <w:tcW w:w="1569" w:type="dxa"/>
            <w:tcBorders>
              <w:top w:val="nil"/>
              <w:left w:val="nil"/>
              <w:bottom w:val="single" w:sz="4" w:space="0" w:color="auto"/>
              <w:right w:val="single" w:sz="8"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415,1</w:t>
            </w:r>
          </w:p>
        </w:tc>
      </w:tr>
      <w:tr w:rsidR="00737C4D" w:rsidRPr="00615AF4" w:rsidTr="00A73882">
        <w:trPr>
          <w:trHeight w:val="630"/>
        </w:trPr>
        <w:tc>
          <w:tcPr>
            <w:tcW w:w="706" w:type="dxa"/>
            <w:tcBorders>
              <w:top w:val="nil"/>
              <w:left w:val="single" w:sz="4" w:space="0" w:color="auto"/>
              <w:bottom w:val="single" w:sz="4" w:space="0" w:color="auto"/>
              <w:right w:val="single" w:sz="4" w:space="0" w:color="auto"/>
            </w:tcBorders>
            <w:shd w:val="clear" w:color="000000" w:fill="FFFFFF"/>
          </w:tcPr>
          <w:p w:rsidR="00737C4D" w:rsidRPr="00615AF4" w:rsidRDefault="00737C4D" w:rsidP="00A73882">
            <w:pPr>
              <w:rPr>
                <w:rFonts w:eastAsia="Times New Roman" w:cs="Times New Roman"/>
                <w:lang w:eastAsia="uk-UA"/>
              </w:rPr>
            </w:pPr>
            <w:r w:rsidRPr="00615AF4">
              <w:rPr>
                <w:rFonts w:eastAsia="Times New Roman" w:cs="Times New Roman"/>
                <w:lang w:eastAsia="uk-UA"/>
              </w:rPr>
              <w:t>40.</w:t>
            </w:r>
          </w:p>
        </w:tc>
        <w:tc>
          <w:tcPr>
            <w:tcW w:w="4696" w:type="dxa"/>
            <w:tcBorders>
              <w:top w:val="nil"/>
              <w:left w:val="nil"/>
              <w:bottom w:val="single" w:sz="4" w:space="0" w:color="auto"/>
              <w:right w:val="single" w:sz="4" w:space="0" w:color="auto"/>
            </w:tcBorders>
            <w:shd w:val="clear" w:color="000000" w:fill="FFFFFF"/>
            <w:vAlign w:val="center"/>
            <w:hideMark/>
          </w:tcPr>
          <w:p w:rsidR="00737C4D" w:rsidRPr="00615AF4" w:rsidRDefault="00737C4D" w:rsidP="00A73882">
            <w:pPr>
              <w:rPr>
                <w:rFonts w:eastAsia="Times New Roman" w:cs="Times New Roman"/>
                <w:lang w:eastAsia="uk-UA"/>
              </w:rPr>
            </w:pPr>
            <w:r w:rsidRPr="00615AF4">
              <w:rPr>
                <w:rFonts w:eastAsia="Times New Roman" w:cs="Times New Roman"/>
                <w:lang w:eastAsia="uk-UA"/>
              </w:rPr>
              <w:t>Програма сталого енергетичного розвитку м. Івано-франківська на період до 2020 року</w:t>
            </w:r>
          </w:p>
        </w:tc>
        <w:tc>
          <w:tcPr>
            <w:tcW w:w="1559" w:type="dxa"/>
            <w:tcBorders>
              <w:top w:val="nil"/>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200,0</w:t>
            </w:r>
          </w:p>
        </w:tc>
        <w:tc>
          <w:tcPr>
            <w:tcW w:w="1559" w:type="dxa"/>
            <w:tcBorders>
              <w:top w:val="nil"/>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39,1</w:t>
            </w:r>
          </w:p>
        </w:tc>
        <w:tc>
          <w:tcPr>
            <w:tcW w:w="1560" w:type="dxa"/>
            <w:tcBorders>
              <w:top w:val="nil"/>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 </w:t>
            </w:r>
          </w:p>
        </w:tc>
        <w:tc>
          <w:tcPr>
            <w:tcW w:w="1636" w:type="dxa"/>
            <w:tcBorders>
              <w:top w:val="nil"/>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 </w:t>
            </w:r>
          </w:p>
        </w:tc>
        <w:tc>
          <w:tcPr>
            <w:tcW w:w="1766" w:type="dxa"/>
            <w:tcBorders>
              <w:top w:val="nil"/>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200,0</w:t>
            </w:r>
          </w:p>
        </w:tc>
        <w:tc>
          <w:tcPr>
            <w:tcW w:w="1569" w:type="dxa"/>
            <w:tcBorders>
              <w:top w:val="nil"/>
              <w:left w:val="nil"/>
              <w:bottom w:val="single" w:sz="4" w:space="0" w:color="auto"/>
              <w:right w:val="single" w:sz="8"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39,1</w:t>
            </w:r>
          </w:p>
        </w:tc>
      </w:tr>
      <w:tr w:rsidR="00737C4D" w:rsidRPr="00615AF4" w:rsidTr="00A73882">
        <w:trPr>
          <w:trHeight w:val="945"/>
        </w:trPr>
        <w:tc>
          <w:tcPr>
            <w:tcW w:w="706" w:type="dxa"/>
            <w:tcBorders>
              <w:top w:val="nil"/>
              <w:left w:val="single" w:sz="4" w:space="0" w:color="auto"/>
              <w:bottom w:val="single" w:sz="4" w:space="0" w:color="auto"/>
              <w:right w:val="single" w:sz="4" w:space="0" w:color="auto"/>
            </w:tcBorders>
            <w:shd w:val="clear" w:color="000000" w:fill="FFFFFF"/>
          </w:tcPr>
          <w:p w:rsidR="00737C4D" w:rsidRPr="00615AF4" w:rsidRDefault="00737C4D" w:rsidP="00A73882">
            <w:pPr>
              <w:rPr>
                <w:rFonts w:eastAsia="Times New Roman" w:cs="Times New Roman"/>
                <w:lang w:eastAsia="uk-UA"/>
              </w:rPr>
            </w:pPr>
            <w:r w:rsidRPr="00615AF4">
              <w:rPr>
                <w:rFonts w:eastAsia="Times New Roman" w:cs="Times New Roman"/>
                <w:lang w:eastAsia="uk-UA"/>
              </w:rPr>
              <w:t>41.</w:t>
            </w:r>
          </w:p>
        </w:tc>
        <w:tc>
          <w:tcPr>
            <w:tcW w:w="4696" w:type="dxa"/>
            <w:tcBorders>
              <w:top w:val="nil"/>
              <w:left w:val="nil"/>
              <w:bottom w:val="single" w:sz="4" w:space="0" w:color="auto"/>
              <w:right w:val="single" w:sz="4" w:space="0" w:color="auto"/>
            </w:tcBorders>
            <w:shd w:val="clear" w:color="000000" w:fill="FFFFFF"/>
            <w:vAlign w:val="center"/>
            <w:hideMark/>
          </w:tcPr>
          <w:p w:rsidR="00737C4D" w:rsidRPr="00615AF4" w:rsidRDefault="00737C4D" w:rsidP="00A73882">
            <w:pPr>
              <w:rPr>
                <w:rFonts w:eastAsia="Times New Roman" w:cs="Times New Roman"/>
                <w:lang w:eastAsia="uk-UA"/>
              </w:rPr>
            </w:pPr>
            <w:r w:rsidRPr="00615AF4">
              <w:rPr>
                <w:rFonts w:eastAsia="Times New Roman" w:cs="Times New Roman"/>
                <w:lang w:eastAsia="uk-UA"/>
              </w:rPr>
              <w:t>Програма розвитку міжнародного і транскордонного співробітництва м.Івано-франківська на 2018-2020 роки</w:t>
            </w:r>
          </w:p>
        </w:tc>
        <w:tc>
          <w:tcPr>
            <w:tcW w:w="1559" w:type="dxa"/>
            <w:tcBorders>
              <w:top w:val="nil"/>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1 632,0</w:t>
            </w:r>
          </w:p>
        </w:tc>
        <w:tc>
          <w:tcPr>
            <w:tcW w:w="1559" w:type="dxa"/>
            <w:tcBorders>
              <w:top w:val="nil"/>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1 428,1</w:t>
            </w:r>
          </w:p>
        </w:tc>
        <w:tc>
          <w:tcPr>
            <w:tcW w:w="1560" w:type="dxa"/>
            <w:tcBorders>
              <w:top w:val="nil"/>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 </w:t>
            </w:r>
          </w:p>
        </w:tc>
        <w:tc>
          <w:tcPr>
            <w:tcW w:w="1636" w:type="dxa"/>
            <w:tcBorders>
              <w:top w:val="nil"/>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 </w:t>
            </w:r>
          </w:p>
        </w:tc>
        <w:tc>
          <w:tcPr>
            <w:tcW w:w="1766" w:type="dxa"/>
            <w:tcBorders>
              <w:top w:val="nil"/>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1 632,0</w:t>
            </w:r>
          </w:p>
        </w:tc>
        <w:tc>
          <w:tcPr>
            <w:tcW w:w="1569" w:type="dxa"/>
            <w:tcBorders>
              <w:top w:val="nil"/>
              <w:left w:val="nil"/>
              <w:bottom w:val="single" w:sz="4" w:space="0" w:color="auto"/>
              <w:right w:val="single" w:sz="8"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1 428,1</w:t>
            </w:r>
          </w:p>
        </w:tc>
      </w:tr>
      <w:tr w:rsidR="00737C4D" w:rsidRPr="00615AF4" w:rsidTr="00A73882">
        <w:trPr>
          <w:trHeight w:val="630"/>
        </w:trPr>
        <w:tc>
          <w:tcPr>
            <w:tcW w:w="706" w:type="dxa"/>
            <w:tcBorders>
              <w:top w:val="nil"/>
              <w:left w:val="single" w:sz="4" w:space="0" w:color="auto"/>
              <w:bottom w:val="single" w:sz="4" w:space="0" w:color="auto"/>
              <w:right w:val="single" w:sz="4" w:space="0" w:color="auto"/>
            </w:tcBorders>
            <w:shd w:val="clear" w:color="000000" w:fill="FFFFFF"/>
          </w:tcPr>
          <w:p w:rsidR="00737C4D" w:rsidRPr="00615AF4" w:rsidRDefault="00737C4D" w:rsidP="00A73882">
            <w:pPr>
              <w:rPr>
                <w:rFonts w:eastAsia="Times New Roman" w:cs="Times New Roman"/>
                <w:lang w:eastAsia="uk-UA"/>
              </w:rPr>
            </w:pPr>
            <w:r w:rsidRPr="00615AF4">
              <w:rPr>
                <w:rFonts w:eastAsia="Times New Roman" w:cs="Times New Roman"/>
                <w:lang w:eastAsia="uk-UA"/>
              </w:rPr>
              <w:t>42.</w:t>
            </w:r>
          </w:p>
        </w:tc>
        <w:tc>
          <w:tcPr>
            <w:tcW w:w="4696" w:type="dxa"/>
            <w:tcBorders>
              <w:top w:val="nil"/>
              <w:left w:val="nil"/>
              <w:bottom w:val="single" w:sz="4" w:space="0" w:color="auto"/>
              <w:right w:val="single" w:sz="4" w:space="0" w:color="auto"/>
            </w:tcBorders>
            <w:shd w:val="clear" w:color="000000" w:fill="FFFFFF"/>
            <w:vAlign w:val="center"/>
            <w:hideMark/>
          </w:tcPr>
          <w:p w:rsidR="00737C4D" w:rsidRPr="00615AF4" w:rsidRDefault="00737C4D" w:rsidP="00A73882">
            <w:pPr>
              <w:rPr>
                <w:rFonts w:eastAsia="Times New Roman" w:cs="Times New Roman"/>
                <w:lang w:eastAsia="uk-UA"/>
              </w:rPr>
            </w:pPr>
            <w:r w:rsidRPr="00615AF4">
              <w:rPr>
                <w:rFonts w:eastAsia="Times New Roman" w:cs="Times New Roman"/>
                <w:lang w:eastAsia="uk-UA"/>
              </w:rPr>
              <w:t>Програма промоції міста Івано-Франківська на 2016-2020 роки</w:t>
            </w:r>
          </w:p>
        </w:tc>
        <w:tc>
          <w:tcPr>
            <w:tcW w:w="1559" w:type="dxa"/>
            <w:tcBorders>
              <w:top w:val="nil"/>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1 021,6</w:t>
            </w:r>
          </w:p>
        </w:tc>
        <w:tc>
          <w:tcPr>
            <w:tcW w:w="1559" w:type="dxa"/>
            <w:tcBorders>
              <w:top w:val="nil"/>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879,9</w:t>
            </w:r>
          </w:p>
        </w:tc>
        <w:tc>
          <w:tcPr>
            <w:tcW w:w="1560" w:type="dxa"/>
            <w:tcBorders>
              <w:top w:val="nil"/>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b/>
                <w:bCs/>
                <w:lang w:eastAsia="uk-UA"/>
              </w:rPr>
            </w:pPr>
            <w:r w:rsidRPr="00615AF4">
              <w:rPr>
                <w:rFonts w:eastAsia="Times New Roman" w:cs="Times New Roman"/>
                <w:b/>
                <w:bCs/>
                <w:lang w:eastAsia="uk-UA"/>
              </w:rPr>
              <w:t> </w:t>
            </w:r>
          </w:p>
        </w:tc>
        <w:tc>
          <w:tcPr>
            <w:tcW w:w="1636" w:type="dxa"/>
            <w:tcBorders>
              <w:top w:val="nil"/>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b/>
                <w:bCs/>
                <w:lang w:eastAsia="uk-UA"/>
              </w:rPr>
            </w:pPr>
            <w:r w:rsidRPr="00615AF4">
              <w:rPr>
                <w:rFonts w:eastAsia="Times New Roman" w:cs="Times New Roman"/>
                <w:b/>
                <w:bCs/>
                <w:lang w:eastAsia="uk-UA"/>
              </w:rPr>
              <w:t> </w:t>
            </w:r>
          </w:p>
        </w:tc>
        <w:tc>
          <w:tcPr>
            <w:tcW w:w="1766" w:type="dxa"/>
            <w:tcBorders>
              <w:top w:val="nil"/>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1 021,6</w:t>
            </w:r>
          </w:p>
        </w:tc>
        <w:tc>
          <w:tcPr>
            <w:tcW w:w="1569" w:type="dxa"/>
            <w:tcBorders>
              <w:top w:val="nil"/>
              <w:left w:val="nil"/>
              <w:bottom w:val="single" w:sz="4" w:space="0" w:color="auto"/>
              <w:right w:val="single" w:sz="8"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879,9</w:t>
            </w:r>
          </w:p>
        </w:tc>
      </w:tr>
      <w:tr w:rsidR="00737C4D" w:rsidRPr="00615AF4" w:rsidTr="00A73882">
        <w:trPr>
          <w:trHeight w:val="945"/>
        </w:trPr>
        <w:tc>
          <w:tcPr>
            <w:tcW w:w="706" w:type="dxa"/>
            <w:tcBorders>
              <w:top w:val="nil"/>
              <w:left w:val="single" w:sz="4" w:space="0" w:color="auto"/>
              <w:bottom w:val="single" w:sz="4" w:space="0" w:color="auto"/>
              <w:right w:val="single" w:sz="4" w:space="0" w:color="auto"/>
            </w:tcBorders>
            <w:shd w:val="clear" w:color="000000" w:fill="FFFFFF"/>
          </w:tcPr>
          <w:p w:rsidR="00737C4D" w:rsidRPr="00615AF4" w:rsidRDefault="00737C4D" w:rsidP="00A73882">
            <w:pPr>
              <w:rPr>
                <w:rFonts w:eastAsia="Times New Roman" w:cs="Times New Roman"/>
                <w:lang w:eastAsia="uk-UA"/>
              </w:rPr>
            </w:pPr>
            <w:r w:rsidRPr="00615AF4">
              <w:rPr>
                <w:rFonts w:eastAsia="Times New Roman" w:cs="Times New Roman"/>
                <w:lang w:eastAsia="uk-UA"/>
              </w:rPr>
              <w:lastRenderedPageBreak/>
              <w:t>43.</w:t>
            </w:r>
          </w:p>
        </w:tc>
        <w:tc>
          <w:tcPr>
            <w:tcW w:w="4696" w:type="dxa"/>
            <w:tcBorders>
              <w:top w:val="nil"/>
              <w:left w:val="nil"/>
              <w:bottom w:val="single" w:sz="4" w:space="0" w:color="auto"/>
              <w:right w:val="single" w:sz="4" w:space="0" w:color="auto"/>
            </w:tcBorders>
            <w:shd w:val="clear" w:color="000000" w:fill="FFFFFF"/>
            <w:vAlign w:val="center"/>
            <w:hideMark/>
          </w:tcPr>
          <w:p w:rsidR="00737C4D" w:rsidRPr="00615AF4" w:rsidRDefault="00737C4D" w:rsidP="00A45FDE">
            <w:pPr>
              <w:rPr>
                <w:rFonts w:eastAsia="Times New Roman" w:cs="Times New Roman"/>
                <w:lang w:eastAsia="uk-UA"/>
              </w:rPr>
            </w:pPr>
            <w:r w:rsidRPr="00615AF4">
              <w:rPr>
                <w:rFonts w:eastAsia="Times New Roman" w:cs="Times New Roman"/>
                <w:lang w:eastAsia="uk-UA"/>
              </w:rPr>
              <w:t xml:space="preserve">Програма легалізації найманої праці та забезпечення кваліфікованими кадрами підприємств м. Івано-Франківська на 2017-2020 </w:t>
            </w:r>
            <w:proofErr w:type="gramStart"/>
            <w:r w:rsidRPr="00615AF4">
              <w:rPr>
                <w:rFonts w:eastAsia="Times New Roman" w:cs="Times New Roman"/>
                <w:lang w:eastAsia="uk-UA"/>
              </w:rPr>
              <w:t xml:space="preserve">рр.  </w:t>
            </w:r>
            <w:proofErr w:type="gramEnd"/>
          </w:p>
        </w:tc>
        <w:tc>
          <w:tcPr>
            <w:tcW w:w="1559" w:type="dxa"/>
            <w:tcBorders>
              <w:top w:val="nil"/>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100,0</w:t>
            </w:r>
          </w:p>
        </w:tc>
        <w:tc>
          <w:tcPr>
            <w:tcW w:w="1559" w:type="dxa"/>
            <w:tcBorders>
              <w:top w:val="nil"/>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62,4</w:t>
            </w:r>
          </w:p>
        </w:tc>
        <w:tc>
          <w:tcPr>
            <w:tcW w:w="1560" w:type="dxa"/>
            <w:tcBorders>
              <w:top w:val="nil"/>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b/>
                <w:bCs/>
                <w:lang w:eastAsia="uk-UA"/>
              </w:rPr>
            </w:pPr>
            <w:r w:rsidRPr="00615AF4">
              <w:rPr>
                <w:rFonts w:eastAsia="Times New Roman" w:cs="Times New Roman"/>
                <w:b/>
                <w:bCs/>
                <w:lang w:eastAsia="uk-UA"/>
              </w:rPr>
              <w:t> </w:t>
            </w:r>
          </w:p>
        </w:tc>
        <w:tc>
          <w:tcPr>
            <w:tcW w:w="1636" w:type="dxa"/>
            <w:tcBorders>
              <w:top w:val="nil"/>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b/>
                <w:bCs/>
                <w:lang w:eastAsia="uk-UA"/>
              </w:rPr>
            </w:pPr>
            <w:r w:rsidRPr="00615AF4">
              <w:rPr>
                <w:rFonts w:eastAsia="Times New Roman" w:cs="Times New Roman"/>
                <w:b/>
                <w:bCs/>
                <w:lang w:eastAsia="uk-UA"/>
              </w:rPr>
              <w:t> </w:t>
            </w:r>
          </w:p>
        </w:tc>
        <w:tc>
          <w:tcPr>
            <w:tcW w:w="1766" w:type="dxa"/>
            <w:tcBorders>
              <w:top w:val="nil"/>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100,0</w:t>
            </w:r>
          </w:p>
        </w:tc>
        <w:tc>
          <w:tcPr>
            <w:tcW w:w="1569" w:type="dxa"/>
            <w:tcBorders>
              <w:top w:val="nil"/>
              <w:left w:val="nil"/>
              <w:bottom w:val="single" w:sz="4" w:space="0" w:color="auto"/>
              <w:right w:val="single" w:sz="8"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62,4</w:t>
            </w:r>
          </w:p>
        </w:tc>
      </w:tr>
      <w:tr w:rsidR="00737C4D" w:rsidRPr="00615AF4" w:rsidTr="00A73882">
        <w:trPr>
          <w:trHeight w:val="945"/>
        </w:trPr>
        <w:tc>
          <w:tcPr>
            <w:tcW w:w="706" w:type="dxa"/>
            <w:tcBorders>
              <w:top w:val="nil"/>
              <w:left w:val="single" w:sz="4" w:space="0" w:color="auto"/>
              <w:bottom w:val="single" w:sz="4" w:space="0" w:color="auto"/>
              <w:right w:val="single" w:sz="4" w:space="0" w:color="auto"/>
            </w:tcBorders>
            <w:shd w:val="clear" w:color="000000" w:fill="FFFFFF"/>
          </w:tcPr>
          <w:p w:rsidR="00737C4D" w:rsidRPr="00615AF4" w:rsidRDefault="00737C4D" w:rsidP="00A73882">
            <w:pPr>
              <w:rPr>
                <w:rFonts w:eastAsia="Times New Roman" w:cs="Times New Roman"/>
                <w:lang w:eastAsia="uk-UA"/>
              </w:rPr>
            </w:pPr>
            <w:r w:rsidRPr="00615AF4">
              <w:rPr>
                <w:rFonts w:eastAsia="Times New Roman" w:cs="Times New Roman"/>
                <w:lang w:eastAsia="uk-UA"/>
              </w:rPr>
              <w:t>44.</w:t>
            </w:r>
          </w:p>
        </w:tc>
        <w:tc>
          <w:tcPr>
            <w:tcW w:w="4696" w:type="dxa"/>
            <w:tcBorders>
              <w:top w:val="nil"/>
              <w:left w:val="nil"/>
              <w:bottom w:val="single" w:sz="4" w:space="0" w:color="auto"/>
              <w:right w:val="single" w:sz="4" w:space="0" w:color="auto"/>
            </w:tcBorders>
            <w:shd w:val="clear" w:color="000000" w:fill="FFFFFF"/>
            <w:vAlign w:val="center"/>
            <w:hideMark/>
          </w:tcPr>
          <w:p w:rsidR="00737C4D" w:rsidRPr="00615AF4" w:rsidRDefault="00737C4D" w:rsidP="00A73882">
            <w:pPr>
              <w:rPr>
                <w:rFonts w:eastAsia="Times New Roman" w:cs="Times New Roman"/>
                <w:lang w:eastAsia="uk-UA"/>
              </w:rPr>
            </w:pPr>
            <w:proofErr w:type="gramStart"/>
            <w:r w:rsidRPr="00615AF4">
              <w:rPr>
                <w:rFonts w:eastAsia="Times New Roman" w:cs="Times New Roman"/>
                <w:lang w:eastAsia="uk-UA"/>
              </w:rPr>
              <w:t>Комплексна  програма</w:t>
            </w:r>
            <w:proofErr w:type="gramEnd"/>
            <w:r w:rsidRPr="00615AF4">
              <w:rPr>
                <w:rFonts w:eastAsia="Times New Roman" w:cs="Times New Roman"/>
                <w:lang w:eastAsia="uk-UA"/>
              </w:rPr>
              <w:t xml:space="preserve">  сприяння залученню інвестицій в економіку м. Івано-Франківська на  2016 – 2020 роки</w:t>
            </w:r>
          </w:p>
        </w:tc>
        <w:tc>
          <w:tcPr>
            <w:tcW w:w="1559" w:type="dxa"/>
            <w:tcBorders>
              <w:top w:val="nil"/>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610,0</w:t>
            </w:r>
          </w:p>
        </w:tc>
        <w:tc>
          <w:tcPr>
            <w:tcW w:w="1559" w:type="dxa"/>
            <w:tcBorders>
              <w:top w:val="nil"/>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507,5</w:t>
            </w:r>
          </w:p>
        </w:tc>
        <w:tc>
          <w:tcPr>
            <w:tcW w:w="1560" w:type="dxa"/>
            <w:tcBorders>
              <w:top w:val="nil"/>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b/>
                <w:bCs/>
                <w:lang w:eastAsia="uk-UA"/>
              </w:rPr>
            </w:pPr>
            <w:r w:rsidRPr="00615AF4">
              <w:rPr>
                <w:rFonts w:eastAsia="Times New Roman" w:cs="Times New Roman"/>
                <w:b/>
                <w:bCs/>
                <w:lang w:eastAsia="uk-UA"/>
              </w:rPr>
              <w:t> </w:t>
            </w:r>
          </w:p>
        </w:tc>
        <w:tc>
          <w:tcPr>
            <w:tcW w:w="1636" w:type="dxa"/>
            <w:tcBorders>
              <w:top w:val="nil"/>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b/>
                <w:bCs/>
                <w:lang w:eastAsia="uk-UA"/>
              </w:rPr>
            </w:pPr>
            <w:r w:rsidRPr="00615AF4">
              <w:rPr>
                <w:rFonts w:eastAsia="Times New Roman" w:cs="Times New Roman"/>
                <w:b/>
                <w:bCs/>
                <w:lang w:eastAsia="uk-UA"/>
              </w:rPr>
              <w:t> </w:t>
            </w:r>
          </w:p>
        </w:tc>
        <w:tc>
          <w:tcPr>
            <w:tcW w:w="1766" w:type="dxa"/>
            <w:tcBorders>
              <w:top w:val="nil"/>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610,0</w:t>
            </w:r>
          </w:p>
        </w:tc>
        <w:tc>
          <w:tcPr>
            <w:tcW w:w="1569" w:type="dxa"/>
            <w:tcBorders>
              <w:top w:val="nil"/>
              <w:left w:val="nil"/>
              <w:bottom w:val="single" w:sz="4" w:space="0" w:color="auto"/>
              <w:right w:val="single" w:sz="8"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507,5</w:t>
            </w:r>
          </w:p>
        </w:tc>
      </w:tr>
      <w:tr w:rsidR="00737C4D" w:rsidRPr="00615AF4" w:rsidTr="00A73882">
        <w:trPr>
          <w:trHeight w:val="945"/>
        </w:trPr>
        <w:tc>
          <w:tcPr>
            <w:tcW w:w="706" w:type="dxa"/>
            <w:tcBorders>
              <w:top w:val="nil"/>
              <w:left w:val="single" w:sz="4" w:space="0" w:color="auto"/>
              <w:bottom w:val="single" w:sz="4" w:space="0" w:color="auto"/>
              <w:right w:val="single" w:sz="4" w:space="0" w:color="auto"/>
            </w:tcBorders>
            <w:shd w:val="clear" w:color="000000" w:fill="FFFFFF"/>
          </w:tcPr>
          <w:p w:rsidR="00737C4D" w:rsidRPr="00615AF4" w:rsidRDefault="00737C4D" w:rsidP="00A73882">
            <w:pPr>
              <w:rPr>
                <w:rFonts w:eastAsia="Times New Roman" w:cs="Times New Roman"/>
                <w:color w:val="000000"/>
                <w:lang w:eastAsia="uk-UA"/>
              </w:rPr>
            </w:pPr>
            <w:r w:rsidRPr="00615AF4">
              <w:rPr>
                <w:rFonts w:eastAsia="Times New Roman" w:cs="Times New Roman"/>
                <w:color w:val="000000"/>
                <w:lang w:eastAsia="uk-UA"/>
              </w:rPr>
              <w:t>45.</w:t>
            </w:r>
          </w:p>
        </w:tc>
        <w:tc>
          <w:tcPr>
            <w:tcW w:w="4696" w:type="dxa"/>
            <w:tcBorders>
              <w:top w:val="nil"/>
              <w:left w:val="nil"/>
              <w:bottom w:val="single" w:sz="4" w:space="0" w:color="auto"/>
              <w:right w:val="single" w:sz="4" w:space="0" w:color="auto"/>
            </w:tcBorders>
            <w:shd w:val="clear" w:color="000000" w:fill="FFFFFF"/>
            <w:vAlign w:val="center"/>
            <w:hideMark/>
          </w:tcPr>
          <w:p w:rsidR="00737C4D" w:rsidRPr="00615AF4" w:rsidRDefault="00737C4D" w:rsidP="00A73882">
            <w:pPr>
              <w:rPr>
                <w:rFonts w:eastAsia="Times New Roman" w:cs="Times New Roman"/>
                <w:color w:val="000000"/>
                <w:lang w:eastAsia="uk-UA"/>
              </w:rPr>
            </w:pPr>
            <w:r w:rsidRPr="00615AF4">
              <w:rPr>
                <w:rFonts w:eastAsia="Times New Roman" w:cs="Times New Roman"/>
                <w:color w:val="000000"/>
                <w:lang w:eastAsia="uk-UA"/>
              </w:rPr>
              <w:t>Програма щодо співпраці між професійно-технічними навчальними закладами та промисловими підприємствами і МСП міста</w:t>
            </w:r>
          </w:p>
        </w:tc>
        <w:tc>
          <w:tcPr>
            <w:tcW w:w="1559" w:type="dxa"/>
            <w:tcBorders>
              <w:top w:val="nil"/>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color w:val="000000"/>
                <w:lang w:eastAsia="uk-UA"/>
              </w:rPr>
            </w:pPr>
            <w:r w:rsidRPr="00615AF4">
              <w:rPr>
                <w:rFonts w:eastAsia="Times New Roman" w:cs="Times New Roman"/>
                <w:color w:val="000000"/>
                <w:lang w:eastAsia="uk-UA"/>
              </w:rPr>
              <w:t>50,0</w:t>
            </w:r>
          </w:p>
        </w:tc>
        <w:tc>
          <w:tcPr>
            <w:tcW w:w="1559" w:type="dxa"/>
            <w:tcBorders>
              <w:top w:val="nil"/>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color w:val="000000"/>
                <w:lang w:eastAsia="uk-UA"/>
              </w:rPr>
            </w:pPr>
            <w:r w:rsidRPr="00615AF4">
              <w:rPr>
                <w:rFonts w:eastAsia="Times New Roman" w:cs="Times New Roman"/>
                <w:color w:val="000000"/>
                <w:lang w:eastAsia="uk-UA"/>
              </w:rPr>
              <w:t>40,0</w:t>
            </w:r>
          </w:p>
        </w:tc>
        <w:tc>
          <w:tcPr>
            <w:tcW w:w="1560" w:type="dxa"/>
            <w:tcBorders>
              <w:top w:val="nil"/>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b/>
                <w:bCs/>
                <w:lang w:eastAsia="uk-UA"/>
              </w:rPr>
            </w:pPr>
            <w:r w:rsidRPr="00615AF4">
              <w:rPr>
                <w:rFonts w:eastAsia="Times New Roman" w:cs="Times New Roman"/>
                <w:b/>
                <w:bCs/>
                <w:lang w:eastAsia="uk-UA"/>
              </w:rPr>
              <w:t> </w:t>
            </w:r>
          </w:p>
        </w:tc>
        <w:tc>
          <w:tcPr>
            <w:tcW w:w="1636" w:type="dxa"/>
            <w:tcBorders>
              <w:top w:val="nil"/>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b/>
                <w:bCs/>
                <w:lang w:eastAsia="uk-UA"/>
              </w:rPr>
            </w:pPr>
            <w:r w:rsidRPr="00615AF4">
              <w:rPr>
                <w:rFonts w:eastAsia="Times New Roman" w:cs="Times New Roman"/>
                <w:b/>
                <w:bCs/>
                <w:lang w:eastAsia="uk-UA"/>
              </w:rPr>
              <w:t> </w:t>
            </w:r>
          </w:p>
        </w:tc>
        <w:tc>
          <w:tcPr>
            <w:tcW w:w="1766" w:type="dxa"/>
            <w:tcBorders>
              <w:top w:val="nil"/>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50,0</w:t>
            </w:r>
          </w:p>
        </w:tc>
        <w:tc>
          <w:tcPr>
            <w:tcW w:w="1569" w:type="dxa"/>
            <w:tcBorders>
              <w:top w:val="nil"/>
              <w:left w:val="nil"/>
              <w:bottom w:val="single" w:sz="4" w:space="0" w:color="auto"/>
              <w:right w:val="single" w:sz="8"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40,0</w:t>
            </w:r>
          </w:p>
        </w:tc>
      </w:tr>
      <w:tr w:rsidR="00737C4D" w:rsidRPr="00615AF4" w:rsidTr="00A73882">
        <w:trPr>
          <w:trHeight w:val="1260"/>
        </w:trPr>
        <w:tc>
          <w:tcPr>
            <w:tcW w:w="706" w:type="dxa"/>
            <w:tcBorders>
              <w:top w:val="nil"/>
              <w:left w:val="single" w:sz="4" w:space="0" w:color="auto"/>
              <w:bottom w:val="single" w:sz="4" w:space="0" w:color="auto"/>
              <w:right w:val="single" w:sz="4" w:space="0" w:color="auto"/>
            </w:tcBorders>
            <w:shd w:val="clear" w:color="000000" w:fill="FFFFFF"/>
          </w:tcPr>
          <w:p w:rsidR="00737C4D" w:rsidRPr="00615AF4" w:rsidRDefault="00737C4D" w:rsidP="00A73882">
            <w:pPr>
              <w:rPr>
                <w:rFonts w:eastAsia="Times New Roman" w:cs="Times New Roman"/>
                <w:lang w:eastAsia="uk-UA"/>
              </w:rPr>
            </w:pPr>
            <w:r w:rsidRPr="00615AF4">
              <w:rPr>
                <w:rFonts w:eastAsia="Times New Roman" w:cs="Times New Roman"/>
                <w:lang w:eastAsia="uk-UA"/>
              </w:rPr>
              <w:t>46.</w:t>
            </w:r>
          </w:p>
        </w:tc>
        <w:tc>
          <w:tcPr>
            <w:tcW w:w="4696" w:type="dxa"/>
            <w:tcBorders>
              <w:top w:val="nil"/>
              <w:left w:val="nil"/>
              <w:bottom w:val="single" w:sz="4" w:space="0" w:color="auto"/>
              <w:right w:val="single" w:sz="4" w:space="0" w:color="auto"/>
            </w:tcBorders>
            <w:shd w:val="clear" w:color="000000" w:fill="FFFFFF"/>
            <w:vAlign w:val="center"/>
            <w:hideMark/>
          </w:tcPr>
          <w:p w:rsidR="00737C4D" w:rsidRPr="00615AF4" w:rsidRDefault="00737C4D" w:rsidP="00A73882">
            <w:pPr>
              <w:rPr>
                <w:rFonts w:eastAsia="Times New Roman" w:cs="Times New Roman"/>
                <w:lang w:eastAsia="uk-UA"/>
              </w:rPr>
            </w:pPr>
            <w:r w:rsidRPr="00615AF4">
              <w:rPr>
                <w:rFonts w:eastAsia="Times New Roman" w:cs="Times New Roman"/>
                <w:lang w:eastAsia="uk-UA"/>
              </w:rPr>
              <w:t xml:space="preserve">Програма цільового використання коштів, що надходять </w:t>
            </w:r>
            <w:proofErr w:type="gramStart"/>
            <w:r w:rsidRPr="00615AF4">
              <w:rPr>
                <w:rFonts w:eastAsia="Times New Roman" w:cs="Times New Roman"/>
                <w:lang w:eastAsia="uk-UA"/>
              </w:rPr>
              <w:t>у порядку</w:t>
            </w:r>
            <w:proofErr w:type="gramEnd"/>
            <w:r w:rsidRPr="00615AF4">
              <w:rPr>
                <w:rFonts w:eastAsia="Times New Roman" w:cs="Times New Roman"/>
                <w:lang w:eastAsia="uk-UA"/>
              </w:rPr>
              <w:t xml:space="preserve"> відшкодування втрат сільськогосподарського і лісогосподарського виробництва на 2015-2020 роки</w:t>
            </w:r>
          </w:p>
        </w:tc>
        <w:tc>
          <w:tcPr>
            <w:tcW w:w="1559" w:type="dxa"/>
            <w:tcBorders>
              <w:top w:val="nil"/>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123,7</w:t>
            </w:r>
          </w:p>
        </w:tc>
        <w:tc>
          <w:tcPr>
            <w:tcW w:w="1636" w:type="dxa"/>
            <w:tcBorders>
              <w:top w:val="nil"/>
              <w:left w:val="nil"/>
              <w:bottom w:val="single" w:sz="4" w:space="0" w:color="auto"/>
              <w:right w:val="single" w:sz="4"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85,2</w:t>
            </w:r>
          </w:p>
        </w:tc>
        <w:tc>
          <w:tcPr>
            <w:tcW w:w="1766" w:type="dxa"/>
            <w:tcBorders>
              <w:top w:val="nil"/>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123,7</w:t>
            </w:r>
          </w:p>
        </w:tc>
        <w:tc>
          <w:tcPr>
            <w:tcW w:w="1569" w:type="dxa"/>
            <w:tcBorders>
              <w:top w:val="nil"/>
              <w:left w:val="nil"/>
              <w:bottom w:val="single" w:sz="4" w:space="0" w:color="auto"/>
              <w:right w:val="single" w:sz="8" w:space="0" w:color="auto"/>
            </w:tcBorders>
            <w:shd w:val="clear" w:color="000000" w:fill="FFFFFF"/>
            <w:noWrap/>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85,2</w:t>
            </w:r>
          </w:p>
        </w:tc>
      </w:tr>
      <w:tr w:rsidR="00737C4D" w:rsidRPr="00615AF4" w:rsidTr="00A73882">
        <w:trPr>
          <w:trHeight w:val="945"/>
        </w:trPr>
        <w:tc>
          <w:tcPr>
            <w:tcW w:w="706" w:type="dxa"/>
            <w:tcBorders>
              <w:top w:val="nil"/>
              <w:left w:val="single" w:sz="4" w:space="0" w:color="auto"/>
              <w:bottom w:val="single" w:sz="4" w:space="0" w:color="auto"/>
              <w:right w:val="single" w:sz="4" w:space="0" w:color="auto"/>
            </w:tcBorders>
            <w:shd w:val="clear" w:color="000000" w:fill="FFFFFF"/>
          </w:tcPr>
          <w:p w:rsidR="00737C4D" w:rsidRPr="00615AF4" w:rsidRDefault="00737C4D" w:rsidP="00A73882">
            <w:pPr>
              <w:rPr>
                <w:rFonts w:eastAsia="Times New Roman" w:cs="Times New Roman"/>
                <w:bCs/>
                <w:lang w:eastAsia="uk-UA"/>
              </w:rPr>
            </w:pPr>
            <w:r w:rsidRPr="00615AF4">
              <w:rPr>
                <w:rFonts w:eastAsia="Times New Roman" w:cs="Times New Roman"/>
                <w:bCs/>
                <w:lang w:eastAsia="uk-UA"/>
              </w:rPr>
              <w:t>47.</w:t>
            </w:r>
          </w:p>
        </w:tc>
        <w:tc>
          <w:tcPr>
            <w:tcW w:w="4696" w:type="dxa"/>
            <w:tcBorders>
              <w:top w:val="nil"/>
              <w:left w:val="nil"/>
              <w:bottom w:val="single" w:sz="4" w:space="0" w:color="auto"/>
              <w:right w:val="single" w:sz="4" w:space="0" w:color="auto"/>
            </w:tcBorders>
            <w:shd w:val="clear" w:color="000000" w:fill="FFFFFF"/>
            <w:vAlign w:val="center"/>
            <w:hideMark/>
          </w:tcPr>
          <w:p w:rsidR="00737C4D" w:rsidRPr="00615AF4" w:rsidRDefault="00737C4D" w:rsidP="00A73882">
            <w:pPr>
              <w:rPr>
                <w:rFonts w:eastAsia="Times New Roman" w:cs="Times New Roman"/>
                <w:bCs/>
                <w:lang w:eastAsia="uk-UA"/>
              </w:rPr>
            </w:pPr>
            <w:r w:rsidRPr="00615AF4">
              <w:rPr>
                <w:rFonts w:eastAsia="Times New Roman" w:cs="Times New Roman"/>
                <w:bCs/>
                <w:lang w:eastAsia="uk-UA"/>
              </w:rPr>
              <w:t>Програма розвитку місцевого самоврядування та громадянського суспільства в м.Івано-Франківську на 2016-2020 роки, у тому числі:</w:t>
            </w:r>
          </w:p>
        </w:tc>
        <w:tc>
          <w:tcPr>
            <w:tcW w:w="1559" w:type="dxa"/>
            <w:tcBorders>
              <w:top w:val="nil"/>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10 458,1</w:t>
            </w:r>
          </w:p>
        </w:tc>
        <w:tc>
          <w:tcPr>
            <w:tcW w:w="1559" w:type="dxa"/>
            <w:tcBorders>
              <w:top w:val="nil"/>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7 412,0</w:t>
            </w:r>
          </w:p>
        </w:tc>
        <w:tc>
          <w:tcPr>
            <w:tcW w:w="1560" w:type="dxa"/>
            <w:tcBorders>
              <w:top w:val="nil"/>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1 767,1</w:t>
            </w:r>
          </w:p>
        </w:tc>
        <w:tc>
          <w:tcPr>
            <w:tcW w:w="1636" w:type="dxa"/>
            <w:tcBorders>
              <w:top w:val="nil"/>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1 255,5</w:t>
            </w:r>
          </w:p>
        </w:tc>
        <w:tc>
          <w:tcPr>
            <w:tcW w:w="1766" w:type="dxa"/>
            <w:tcBorders>
              <w:top w:val="nil"/>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12 225,2</w:t>
            </w:r>
          </w:p>
        </w:tc>
        <w:tc>
          <w:tcPr>
            <w:tcW w:w="1569" w:type="dxa"/>
            <w:tcBorders>
              <w:top w:val="nil"/>
              <w:left w:val="nil"/>
              <w:bottom w:val="single" w:sz="4" w:space="0" w:color="auto"/>
              <w:right w:val="single" w:sz="8"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8 667,5</w:t>
            </w:r>
          </w:p>
        </w:tc>
      </w:tr>
      <w:tr w:rsidR="00737C4D" w:rsidRPr="00615AF4" w:rsidTr="00A73882">
        <w:trPr>
          <w:trHeight w:val="945"/>
        </w:trPr>
        <w:tc>
          <w:tcPr>
            <w:tcW w:w="706" w:type="dxa"/>
            <w:tcBorders>
              <w:top w:val="nil"/>
              <w:left w:val="single" w:sz="4" w:space="0" w:color="auto"/>
              <w:bottom w:val="single" w:sz="4" w:space="0" w:color="auto"/>
              <w:right w:val="single" w:sz="4" w:space="0" w:color="auto"/>
            </w:tcBorders>
            <w:shd w:val="clear" w:color="000000" w:fill="FFFFFF"/>
          </w:tcPr>
          <w:p w:rsidR="00737C4D" w:rsidRPr="00615AF4" w:rsidRDefault="00737C4D" w:rsidP="00A73882">
            <w:pPr>
              <w:rPr>
                <w:rFonts w:eastAsia="Times New Roman" w:cs="Times New Roman"/>
                <w:lang w:eastAsia="uk-UA"/>
              </w:rPr>
            </w:pPr>
          </w:p>
        </w:tc>
        <w:tc>
          <w:tcPr>
            <w:tcW w:w="4696" w:type="dxa"/>
            <w:tcBorders>
              <w:top w:val="nil"/>
              <w:left w:val="nil"/>
              <w:bottom w:val="single" w:sz="4" w:space="0" w:color="auto"/>
              <w:right w:val="single" w:sz="4" w:space="0" w:color="auto"/>
            </w:tcBorders>
            <w:shd w:val="clear" w:color="000000" w:fill="FFFFFF"/>
            <w:vAlign w:val="center"/>
            <w:hideMark/>
          </w:tcPr>
          <w:p w:rsidR="00737C4D" w:rsidRPr="00615AF4" w:rsidRDefault="00737C4D" w:rsidP="00A73882">
            <w:pPr>
              <w:rPr>
                <w:rFonts w:eastAsia="Times New Roman" w:cs="Times New Roman"/>
                <w:lang w:eastAsia="uk-UA"/>
              </w:rPr>
            </w:pPr>
            <w:r w:rsidRPr="00615AF4">
              <w:rPr>
                <w:rFonts w:eastAsia="Times New Roman" w:cs="Times New Roman"/>
                <w:lang w:eastAsia="uk-UA"/>
              </w:rPr>
              <w:t>Підпрограма "Міський конкурс проектів та програм розвитку місцевого самоврядування та громадянського суспільства"</w:t>
            </w:r>
          </w:p>
        </w:tc>
        <w:tc>
          <w:tcPr>
            <w:tcW w:w="1559" w:type="dxa"/>
            <w:tcBorders>
              <w:top w:val="nil"/>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4 404,6</w:t>
            </w:r>
          </w:p>
        </w:tc>
        <w:tc>
          <w:tcPr>
            <w:tcW w:w="1559" w:type="dxa"/>
            <w:tcBorders>
              <w:top w:val="nil"/>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1 803,5</w:t>
            </w:r>
          </w:p>
        </w:tc>
        <w:tc>
          <w:tcPr>
            <w:tcW w:w="1560" w:type="dxa"/>
            <w:tcBorders>
              <w:top w:val="nil"/>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1 116,1</w:t>
            </w:r>
          </w:p>
        </w:tc>
        <w:tc>
          <w:tcPr>
            <w:tcW w:w="1636" w:type="dxa"/>
            <w:tcBorders>
              <w:top w:val="nil"/>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620,5</w:t>
            </w:r>
          </w:p>
        </w:tc>
        <w:tc>
          <w:tcPr>
            <w:tcW w:w="1766" w:type="dxa"/>
            <w:tcBorders>
              <w:top w:val="nil"/>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5 520,7</w:t>
            </w:r>
          </w:p>
        </w:tc>
        <w:tc>
          <w:tcPr>
            <w:tcW w:w="1569" w:type="dxa"/>
            <w:tcBorders>
              <w:top w:val="nil"/>
              <w:left w:val="nil"/>
              <w:bottom w:val="nil"/>
              <w:right w:val="single" w:sz="8"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2 424,0</w:t>
            </w:r>
          </w:p>
        </w:tc>
      </w:tr>
      <w:tr w:rsidR="00737C4D" w:rsidRPr="00615AF4" w:rsidTr="00A73882">
        <w:trPr>
          <w:trHeight w:val="945"/>
        </w:trPr>
        <w:tc>
          <w:tcPr>
            <w:tcW w:w="706" w:type="dxa"/>
            <w:tcBorders>
              <w:top w:val="nil"/>
              <w:left w:val="single" w:sz="4" w:space="0" w:color="auto"/>
              <w:bottom w:val="single" w:sz="4" w:space="0" w:color="auto"/>
              <w:right w:val="single" w:sz="4" w:space="0" w:color="auto"/>
            </w:tcBorders>
            <w:shd w:val="clear" w:color="000000" w:fill="FFFFFF"/>
          </w:tcPr>
          <w:p w:rsidR="00737C4D" w:rsidRPr="00615AF4" w:rsidRDefault="00737C4D" w:rsidP="00A73882">
            <w:pPr>
              <w:rPr>
                <w:rFonts w:eastAsia="Times New Roman" w:cs="Times New Roman"/>
                <w:lang w:eastAsia="uk-UA"/>
              </w:rPr>
            </w:pPr>
          </w:p>
        </w:tc>
        <w:tc>
          <w:tcPr>
            <w:tcW w:w="4696" w:type="dxa"/>
            <w:tcBorders>
              <w:top w:val="nil"/>
              <w:left w:val="nil"/>
              <w:bottom w:val="single" w:sz="4" w:space="0" w:color="auto"/>
              <w:right w:val="single" w:sz="4" w:space="0" w:color="auto"/>
            </w:tcBorders>
            <w:shd w:val="clear" w:color="000000" w:fill="FFFFFF"/>
            <w:vAlign w:val="center"/>
            <w:hideMark/>
          </w:tcPr>
          <w:p w:rsidR="00737C4D" w:rsidRPr="00615AF4" w:rsidRDefault="00737C4D" w:rsidP="00A73882">
            <w:pPr>
              <w:rPr>
                <w:rFonts w:eastAsia="Times New Roman" w:cs="Times New Roman"/>
                <w:lang w:eastAsia="uk-UA"/>
              </w:rPr>
            </w:pPr>
            <w:r w:rsidRPr="00615AF4">
              <w:rPr>
                <w:rFonts w:eastAsia="Times New Roman" w:cs="Times New Roman"/>
                <w:lang w:eastAsia="uk-UA"/>
              </w:rPr>
              <w:t>Підпрограма "Доступ громадян до публічної інформації органів місцевого самоврядування міста Івано-Франківська"</w:t>
            </w:r>
          </w:p>
        </w:tc>
        <w:tc>
          <w:tcPr>
            <w:tcW w:w="1559" w:type="dxa"/>
            <w:tcBorders>
              <w:top w:val="nil"/>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3 464,5</w:t>
            </w:r>
          </w:p>
        </w:tc>
        <w:tc>
          <w:tcPr>
            <w:tcW w:w="1559" w:type="dxa"/>
            <w:tcBorders>
              <w:top w:val="nil"/>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3 058,4</w:t>
            </w:r>
          </w:p>
        </w:tc>
        <w:tc>
          <w:tcPr>
            <w:tcW w:w="1560" w:type="dxa"/>
            <w:tcBorders>
              <w:top w:val="nil"/>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0,0</w:t>
            </w:r>
          </w:p>
        </w:tc>
        <w:tc>
          <w:tcPr>
            <w:tcW w:w="1636" w:type="dxa"/>
            <w:tcBorders>
              <w:top w:val="nil"/>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0,0</w:t>
            </w:r>
          </w:p>
        </w:tc>
        <w:tc>
          <w:tcPr>
            <w:tcW w:w="1766" w:type="dxa"/>
            <w:tcBorders>
              <w:top w:val="nil"/>
              <w:left w:val="nil"/>
              <w:bottom w:val="single" w:sz="4" w:space="0" w:color="auto"/>
              <w:right w:val="nil"/>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3 464,5</w:t>
            </w:r>
          </w:p>
        </w:tc>
        <w:tc>
          <w:tcPr>
            <w:tcW w:w="1569" w:type="dxa"/>
            <w:tcBorders>
              <w:top w:val="nil"/>
              <w:left w:val="single" w:sz="4" w:space="0" w:color="auto"/>
              <w:bottom w:val="single" w:sz="4" w:space="0" w:color="auto"/>
              <w:right w:val="single" w:sz="8"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3 058,4</w:t>
            </w:r>
          </w:p>
        </w:tc>
      </w:tr>
      <w:tr w:rsidR="00737C4D" w:rsidRPr="00615AF4" w:rsidTr="00A73882">
        <w:trPr>
          <w:trHeight w:val="630"/>
        </w:trPr>
        <w:tc>
          <w:tcPr>
            <w:tcW w:w="706" w:type="dxa"/>
            <w:tcBorders>
              <w:top w:val="nil"/>
              <w:left w:val="single" w:sz="4" w:space="0" w:color="auto"/>
              <w:bottom w:val="single" w:sz="4" w:space="0" w:color="auto"/>
              <w:right w:val="single" w:sz="4" w:space="0" w:color="auto"/>
            </w:tcBorders>
            <w:shd w:val="clear" w:color="000000" w:fill="FFFFFF"/>
          </w:tcPr>
          <w:p w:rsidR="00737C4D" w:rsidRPr="00615AF4" w:rsidRDefault="00737C4D" w:rsidP="00A73882">
            <w:pPr>
              <w:rPr>
                <w:rFonts w:eastAsia="Times New Roman" w:cs="Times New Roman"/>
                <w:lang w:eastAsia="uk-UA"/>
              </w:rPr>
            </w:pPr>
            <w:r w:rsidRPr="00615AF4">
              <w:rPr>
                <w:rFonts w:eastAsia="Times New Roman" w:cs="Times New Roman"/>
                <w:lang w:eastAsia="uk-UA"/>
              </w:rPr>
              <w:t>48.</w:t>
            </w:r>
          </w:p>
        </w:tc>
        <w:tc>
          <w:tcPr>
            <w:tcW w:w="4696" w:type="dxa"/>
            <w:tcBorders>
              <w:top w:val="nil"/>
              <w:left w:val="nil"/>
              <w:bottom w:val="single" w:sz="4" w:space="0" w:color="auto"/>
              <w:right w:val="single" w:sz="4" w:space="0" w:color="auto"/>
            </w:tcBorders>
            <w:shd w:val="clear" w:color="000000" w:fill="FFFFFF"/>
            <w:vAlign w:val="center"/>
            <w:hideMark/>
          </w:tcPr>
          <w:p w:rsidR="00737C4D" w:rsidRPr="00615AF4" w:rsidRDefault="00737C4D" w:rsidP="00A73882">
            <w:pPr>
              <w:rPr>
                <w:rFonts w:eastAsia="Times New Roman" w:cs="Times New Roman"/>
                <w:lang w:eastAsia="uk-UA"/>
              </w:rPr>
            </w:pPr>
            <w:r w:rsidRPr="00615AF4">
              <w:rPr>
                <w:rFonts w:eastAsia="Times New Roman" w:cs="Times New Roman"/>
                <w:lang w:eastAsia="uk-UA"/>
              </w:rPr>
              <w:t>Муніципальна програма "Духовне життя на 2018-2019 роки"</w:t>
            </w:r>
          </w:p>
        </w:tc>
        <w:tc>
          <w:tcPr>
            <w:tcW w:w="1559" w:type="dxa"/>
            <w:tcBorders>
              <w:top w:val="nil"/>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1 200,6</w:t>
            </w:r>
          </w:p>
        </w:tc>
        <w:tc>
          <w:tcPr>
            <w:tcW w:w="1559" w:type="dxa"/>
            <w:tcBorders>
              <w:top w:val="nil"/>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1 011,6</w:t>
            </w:r>
          </w:p>
        </w:tc>
        <w:tc>
          <w:tcPr>
            <w:tcW w:w="1560" w:type="dxa"/>
            <w:tcBorders>
              <w:top w:val="nil"/>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0,0</w:t>
            </w:r>
          </w:p>
        </w:tc>
        <w:tc>
          <w:tcPr>
            <w:tcW w:w="1636" w:type="dxa"/>
            <w:tcBorders>
              <w:top w:val="nil"/>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0,0</w:t>
            </w:r>
          </w:p>
        </w:tc>
        <w:tc>
          <w:tcPr>
            <w:tcW w:w="1766" w:type="dxa"/>
            <w:tcBorders>
              <w:top w:val="nil"/>
              <w:left w:val="nil"/>
              <w:bottom w:val="single" w:sz="4" w:space="0" w:color="auto"/>
              <w:right w:val="nil"/>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1 200,6</w:t>
            </w:r>
          </w:p>
        </w:tc>
        <w:tc>
          <w:tcPr>
            <w:tcW w:w="1569" w:type="dxa"/>
            <w:tcBorders>
              <w:top w:val="nil"/>
              <w:left w:val="single" w:sz="4" w:space="0" w:color="auto"/>
              <w:bottom w:val="nil"/>
              <w:right w:val="single" w:sz="8"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1 011,6</w:t>
            </w:r>
          </w:p>
        </w:tc>
      </w:tr>
      <w:tr w:rsidR="00737C4D" w:rsidRPr="00615AF4" w:rsidTr="00A73882">
        <w:trPr>
          <w:trHeight w:val="945"/>
        </w:trPr>
        <w:tc>
          <w:tcPr>
            <w:tcW w:w="706" w:type="dxa"/>
            <w:tcBorders>
              <w:top w:val="nil"/>
              <w:left w:val="single" w:sz="4" w:space="0" w:color="auto"/>
              <w:bottom w:val="single" w:sz="4" w:space="0" w:color="auto"/>
              <w:right w:val="single" w:sz="4" w:space="0" w:color="auto"/>
            </w:tcBorders>
            <w:shd w:val="clear" w:color="000000" w:fill="FFFFFF"/>
          </w:tcPr>
          <w:p w:rsidR="00737C4D" w:rsidRPr="00615AF4" w:rsidRDefault="00737C4D" w:rsidP="00A73882">
            <w:pPr>
              <w:rPr>
                <w:rFonts w:eastAsia="Times New Roman" w:cs="Times New Roman"/>
                <w:lang w:eastAsia="uk-UA"/>
              </w:rPr>
            </w:pPr>
            <w:r>
              <w:rPr>
                <w:rFonts w:eastAsia="Times New Roman" w:cs="Times New Roman"/>
                <w:lang w:eastAsia="uk-UA"/>
              </w:rPr>
              <w:t>49.</w:t>
            </w:r>
          </w:p>
        </w:tc>
        <w:tc>
          <w:tcPr>
            <w:tcW w:w="4696" w:type="dxa"/>
            <w:tcBorders>
              <w:top w:val="nil"/>
              <w:left w:val="nil"/>
              <w:bottom w:val="single" w:sz="4" w:space="0" w:color="auto"/>
              <w:right w:val="single" w:sz="4" w:space="0" w:color="auto"/>
            </w:tcBorders>
            <w:shd w:val="clear" w:color="000000" w:fill="FFFFFF"/>
            <w:vAlign w:val="center"/>
            <w:hideMark/>
          </w:tcPr>
          <w:p w:rsidR="00737C4D" w:rsidRPr="00615AF4" w:rsidRDefault="00737C4D" w:rsidP="00A73882">
            <w:pPr>
              <w:rPr>
                <w:rFonts w:eastAsia="Times New Roman" w:cs="Times New Roman"/>
                <w:lang w:eastAsia="uk-UA"/>
              </w:rPr>
            </w:pPr>
            <w:r w:rsidRPr="00615AF4">
              <w:rPr>
                <w:rFonts w:eastAsia="Times New Roman" w:cs="Times New Roman"/>
                <w:lang w:eastAsia="uk-UA"/>
              </w:rPr>
              <w:t xml:space="preserve">Міська цільова програма «Партиципаторне бюджетування (бюджет </w:t>
            </w:r>
            <w:proofErr w:type="gramStart"/>
            <w:r w:rsidRPr="00615AF4">
              <w:rPr>
                <w:rFonts w:eastAsia="Times New Roman" w:cs="Times New Roman"/>
                <w:lang w:eastAsia="uk-UA"/>
              </w:rPr>
              <w:t>участі)  у</w:t>
            </w:r>
            <w:proofErr w:type="gramEnd"/>
            <w:r w:rsidRPr="00615AF4">
              <w:rPr>
                <w:rFonts w:eastAsia="Times New Roman" w:cs="Times New Roman"/>
                <w:lang w:eastAsia="uk-UA"/>
              </w:rPr>
              <w:t xml:space="preserve"> м. Івано-Франківську»</w:t>
            </w:r>
          </w:p>
        </w:tc>
        <w:tc>
          <w:tcPr>
            <w:tcW w:w="1559" w:type="dxa"/>
            <w:tcBorders>
              <w:top w:val="nil"/>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1 096,5</w:t>
            </w:r>
          </w:p>
        </w:tc>
        <w:tc>
          <w:tcPr>
            <w:tcW w:w="1559" w:type="dxa"/>
            <w:tcBorders>
              <w:top w:val="nil"/>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734,8</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4 000,6</w:t>
            </w:r>
          </w:p>
        </w:tc>
        <w:tc>
          <w:tcPr>
            <w:tcW w:w="1636" w:type="dxa"/>
            <w:tcBorders>
              <w:top w:val="single" w:sz="4" w:space="0" w:color="auto"/>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2 906,7</w:t>
            </w:r>
          </w:p>
        </w:tc>
        <w:tc>
          <w:tcPr>
            <w:tcW w:w="1766" w:type="dxa"/>
            <w:tcBorders>
              <w:top w:val="single" w:sz="4" w:space="0" w:color="auto"/>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5 097,1</w:t>
            </w:r>
          </w:p>
        </w:tc>
        <w:tc>
          <w:tcPr>
            <w:tcW w:w="1569" w:type="dxa"/>
            <w:tcBorders>
              <w:top w:val="single" w:sz="4" w:space="0" w:color="auto"/>
              <w:left w:val="nil"/>
              <w:bottom w:val="single" w:sz="4" w:space="0" w:color="auto"/>
              <w:right w:val="single" w:sz="8"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3 641,5</w:t>
            </w:r>
          </w:p>
        </w:tc>
      </w:tr>
      <w:tr w:rsidR="00737C4D" w:rsidRPr="00615AF4" w:rsidTr="00A45FDE">
        <w:trPr>
          <w:trHeight w:val="599"/>
        </w:trPr>
        <w:tc>
          <w:tcPr>
            <w:tcW w:w="706" w:type="dxa"/>
            <w:tcBorders>
              <w:top w:val="single" w:sz="4" w:space="0" w:color="auto"/>
              <w:left w:val="single" w:sz="4" w:space="0" w:color="auto"/>
              <w:bottom w:val="single" w:sz="4" w:space="0" w:color="auto"/>
              <w:right w:val="single" w:sz="4" w:space="0" w:color="auto"/>
            </w:tcBorders>
            <w:shd w:val="clear" w:color="000000" w:fill="FFFFFF"/>
          </w:tcPr>
          <w:p w:rsidR="00737C4D" w:rsidRPr="00615AF4" w:rsidRDefault="00737C4D" w:rsidP="00A73882">
            <w:pPr>
              <w:rPr>
                <w:rFonts w:eastAsia="Times New Roman" w:cs="Times New Roman"/>
                <w:lang w:eastAsia="uk-UA"/>
              </w:rPr>
            </w:pPr>
            <w:r>
              <w:rPr>
                <w:rFonts w:eastAsia="Times New Roman" w:cs="Times New Roman"/>
                <w:lang w:eastAsia="uk-UA"/>
              </w:rPr>
              <w:t>50.</w:t>
            </w:r>
          </w:p>
        </w:tc>
        <w:tc>
          <w:tcPr>
            <w:tcW w:w="4696" w:type="dxa"/>
            <w:tcBorders>
              <w:top w:val="single" w:sz="4" w:space="0" w:color="auto"/>
              <w:left w:val="nil"/>
              <w:bottom w:val="single" w:sz="4" w:space="0" w:color="auto"/>
              <w:right w:val="single" w:sz="4" w:space="0" w:color="auto"/>
            </w:tcBorders>
            <w:shd w:val="clear" w:color="000000" w:fill="FFFFFF"/>
            <w:vAlign w:val="center"/>
            <w:hideMark/>
          </w:tcPr>
          <w:p w:rsidR="00737C4D" w:rsidRPr="00615AF4" w:rsidRDefault="00737C4D" w:rsidP="00A73882">
            <w:pPr>
              <w:rPr>
                <w:rFonts w:eastAsia="Times New Roman" w:cs="Times New Roman"/>
                <w:lang w:eastAsia="uk-UA"/>
              </w:rPr>
            </w:pPr>
            <w:r w:rsidRPr="00615AF4">
              <w:rPr>
                <w:rFonts w:eastAsia="Times New Roman" w:cs="Times New Roman"/>
                <w:lang w:eastAsia="uk-UA"/>
              </w:rPr>
              <w:t>Комплексна програма профілактики злочинності в місті до 2020 року</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300,0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300,0</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 </w:t>
            </w:r>
          </w:p>
        </w:tc>
        <w:tc>
          <w:tcPr>
            <w:tcW w:w="1636" w:type="dxa"/>
            <w:tcBorders>
              <w:top w:val="single" w:sz="4" w:space="0" w:color="auto"/>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 </w:t>
            </w:r>
          </w:p>
        </w:tc>
        <w:tc>
          <w:tcPr>
            <w:tcW w:w="1766" w:type="dxa"/>
            <w:tcBorders>
              <w:top w:val="single" w:sz="4" w:space="0" w:color="auto"/>
              <w:left w:val="nil"/>
              <w:bottom w:val="single" w:sz="4"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300,0</w:t>
            </w:r>
          </w:p>
        </w:tc>
        <w:tc>
          <w:tcPr>
            <w:tcW w:w="1569" w:type="dxa"/>
            <w:tcBorders>
              <w:top w:val="single" w:sz="4" w:space="0" w:color="auto"/>
              <w:left w:val="nil"/>
              <w:bottom w:val="single" w:sz="4" w:space="0" w:color="auto"/>
              <w:right w:val="single" w:sz="8"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300,0</w:t>
            </w:r>
          </w:p>
        </w:tc>
      </w:tr>
      <w:tr w:rsidR="00737C4D" w:rsidRPr="00615AF4" w:rsidTr="00A45FDE">
        <w:trPr>
          <w:trHeight w:val="992"/>
        </w:trPr>
        <w:tc>
          <w:tcPr>
            <w:tcW w:w="706" w:type="dxa"/>
            <w:tcBorders>
              <w:top w:val="single" w:sz="4" w:space="0" w:color="auto"/>
              <w:left w:val="single" w:sz="4" w:space="0" w:color="auto"/>
              <w:bottom w:val="single" w:sz="8" w:space="0" w:color="auto"/>
              <w:right w:val="single" w:sz="4" w:space="0" w:color="auto"/>
            </w:tcBorders>
            <w:shd w:val="clear" w:color="000000" w:fill="FFFFFF"/>
          </w:tcPr>
          <w:p w:rsidR="00737C4D" w:rsidRPr="00615AF4" w:rsidRDefault="00737C4D" w:rsidP="00A73882">
            <w:pPr>
              <w:rPr>
                <w:rFonts w:eastAsia="Times New Roman" w:cs="Times New Roman"/>
                <w:lang w:eastAsia="uk-UA"/>
              </w:rPr>
            </w:pPr>
            <w:r w:rsidRPr="00615AF4">
              <w:rPr>
                <w:rFonts w:eastAsia="Times New Roman" w:cs="Times New Roman"/>
                <w:lang w:eastAsia="uk-UA"/>
              </w:rPr>
              <w:t>51.</w:t>
            </w:r>
          </w:p>
        </w:tc>
        <w:tc>
          <w:tcPr>
            <w:tcW w:w="4696" w:type="dxa"/>
            <w:tcBorders>
              <w:top w:val="single" w:sz="4" w:space="0" w:color="auto"/>
              <w:left w:val="nil"/>
              <w:bottom w:val="single" w:sz="8" w:space="0" w:color="auto"/>
              <w:right w:val="single" w:sz="4" w:space="0" w:color="auto"/>
            </w:tcBorders>
            <w:shd w:val="clear" w:color="000000" w:fill="FFFFFF"/>
            <w:vAlign w:val="center"/>
            <w:hideMark/>
          </w:tcPr>
          <w:p w:rsidR="00737C4D" w:rsidRPr="00615AF4" w:rsidRDefault="00737C4D" w:rsidP="00A73882">
            <w:pPr>
              <w:rPr>
                <w:rFonts w:eastAsia="Times New Roman" w:cs="Times New Roman"/>
                <w:lang w:eastAsia="uk-UA"/>
              </w:rPr>
            </w:pPr>
            <w:r w:rsidRPr="00615AF4">
              <w:rPr>
                <w:rFonts w:eastAsia="Times New Roman" w:cs="Times New Roman"/>
                <w:lang w:eastAsia="uk-UA"/>
              </w:rPr>
              <w:t>Програма поліпшення сервісу обслуговування платників податків на 2019 рік</w:t>
            </w:r>
          </w:p>
        </w:tc>
        <w:tc>
          <w:tcPr>
            <w:tcW w:w="1559" w:type="dxa"/>
            <w:tcBorders>
              <w:top w:val="single" w:sz="4" w:space="0" w:color="auto"/>
              <w:left w:val="nil"/>
              <w:bottom w:val="single" w:sz="8"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 </w:t>
            </w:r>
          </w:p>
        </w:tc>
        <w:tc>
          <w:tcPr>
            <w:tcW w:w="1559" w:type="dxa"/>
            <w:tcBorders>
              <w:top w:val="single" w:sz="4" w:space="0" w:color="auto"/>
              <w:left w:val="nil"/>
              <w:bottom w:val="single" w:sz="8"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 </w:t>
            </w:r>
          </w:p>
        </w:tc>
        <w:tc>
          <w:tcPr>
            <w:tcW w:w="1560" w:type="dxa"/>
            <w:tcBorders>
              <w:top w:val="single" w:sz="4" w:space="0" w:color="auto"/>
              <w:left w:val="nil"/>
              <w:bottom w:val="single" w:sz="8"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550,0</w:t>
            </w:r>
          </w:p>
        </w:tc>
        <w:tc>
          <w:tcPr>
            <w:tcW w:w="1636" w:type="dxa"/>
            <w:tcBorders>
              <w:top w:val="single" w:sz="4" w:space="0" w:color="auto"/>
              <w:left w:val="nil"/>
              <w:bottom w:val="single" w:sz="8"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550,0</w:t>
            </w:r>
          </w:p>
        </w:tc>
        <w:tc>
          <w:tcPr>
            <w:tcW w:w="1766" w:type="dxa"/>
            <w:tcBorders>
              <w:top w:val="single" w:sz="4" w:space="0" w:color="auto"/>
              <w:left w:val="nil"/>
              <w:bottom w:val="single" w:sz="8" w:space="0" w:color="auto"/>
              <w:right w:val="single" w:sz="4"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550,0</w:t>
            </w:r>
          </w:p>
        </w:tc>
        <w:tc>
          <w:tcPr>
            <w:tcW w:w="1569" w:type="dxa"/>
            <w:tcBorders>
              <w:top w:val="single" w:sz="4" w:space="0" w:color="auto"/>
              <w:left w:val="nil"/>
              <w:bottom w:val="single" w:sz="8" w:space="0" w:color="auto"/>
              <w:right w:val="single" w:sz="8" w:space="0" w:color="auto"/>
            </w:tcBorders>
            <w:shd w:val="clear" w:color="000000" w:fill="FFFFFF"/>
            <w:vAlign w:val="center"/>
            <w:hideMark/>
          </w:tcPr>
          <w:p w:rsidR="00737C4D" w:rsidRPr="00615AF4" w:rsidRDefault="00737C4D" w:rsidP="00A73882">
            <w:pPr>
              <w:jc w:val="center"/>
              <w:rPr>
                <w:rFonts w:eastAsia="Times New Roman" w:cs="Times New Roman"/>
                <w:lang w:eastAsia="uk-UA"/>
              </w:rPr>
            </w:pPr>
            <w:r w:rsidRPr="00615AF4">
              <w:rPr>
                <w:rFonts w:eastAsia="Times New Roman" w:cs="Times New Roman"/>
                <w:lang w:eastAsia="uk-UA"/>
              </w:rPr>
              <w:t>550,0</w:t>
            </w:r>
          </w:p>
        </w:tc>
      </w:tr>
      <w:tr w:rsidR="00737C4D" w:rsidRPr="008F1598" w:rsidTr="00A73882">
        <w:trPr>
          <w:trHeight w:val="537"/>
        </w:trPr>
        <w:tc>
          <w:tcPr>
            <w:tcW w:w="706" w:type="dxa"/>
            <w:tcBorders>
              <w:top w:val="single" w:sz="4" w:space="0" w:color="auto"/>
              <w:left w:val="single" w:sz="4" w:space="0" w:color="auto"/>
              <w:bottom w:val="single" w:sz="8" w:space="0" w:color="auto"/>
              <w:right w:val="single" w:sz="4" w:space="0" w:color="auto"/>
            </w:tcBorders>
            <w:shd w:val="clear" w:color="000000" w:fill="FFFFFF"/>
          </w:tcPr>
          <w:p w:rsidR="00737C4D" w:rsidRPr="008F1598" w:rsidRDefault="00737C4D" w:rsidP="00A73882">
            <w:pPr>
              <w:rPr>
                <w:rFonts w:eastAsia="Times New Roman" w:cs="Times New Roman"/>
                <w:b/>
                <w:lang w:eastAsia="uk-UA"/>
              </w:rPr>
            </w:pPr>
          </w:p>
        </w:tc>
        <w:tc>
          <w:tcPr>
            <w:tcW w:w="4696" w:type="dxa"/>
            <w:tcBorders>
              <w:top w:val="single" w:sz="4" w:space="0" w:color="auto"/>
              <w:left w:val="nil"/>
              <w:bottom w:val="single" w:sz="8" w:space="0" w:color="auto"/>
              <w:right w:val="single" w:sz="4" w:space="0" w:color="auto"/>
            </w:tcBorders>
            <w:shd w:val="clear" w:color="000000" w:fill="FFFFFF"/>
            <w:vAlign w:val="center"/>
          </w:tcPr>
          <w:p w:rsidR="00737C4D" w:rsidRPr="008F1598" w:rsidRDefault="00737C4D" w:rsidP="00A73882">
            <w:pPr>
              <w:rPr>
                <w:rFonts w:eastAsia="Times New Roman" w:cs="Times New Roman"/>
                <w:b/>
                <w:lang w:eastAsia="uk-UA"/>
              </w:rPr>
            </w:pPr>
            <w:r w:rsidRPr="008F1598">
              <w:rPr>
                <w:rFonts w:eastAsia="Times New Roman" w:cs="Times New Roman"/>
                <w:b/>
                <w:lang w:eastAsia="uk-UA"/>
              </w:rPr>
              <w:t>Всього</w:t>
            </w:r>
          </w:p>
        </w:tc>
        <w:tc>
          <w:tcPr>
            <w:tcW w:w="1559" w:type="dxa"/>
            <w:tcBorders>
              <w:top w:val="single" w:sz="4" w:space="0" w:color="auto"/>
              <w:left w:val="nil"/>
              <w:bottom w:val="single" w:sz="8" w:space="0" w:color="auto"/>
              <w:right w:val="single" w:sz="4" w:space="0" w:color="auto"/>
            </w:tcBorders>
            <w:shd w:val="clear" w:color="000000" w:fill="FFFFFF"/>
            <w:vAlign w:val="center"/>
          </w:tcPr>
          <w:p w:rsidR="00737C4D" w:rsidRPr="008F1598" w:rsidRDefault="00737C4D" w:rsidP="00A73882">
            <w:pPr>
              <w:jc w:val="center"/>
              <w:rPr>
                <w:rFonts w:eastAsia="Times New Roman" w:cs="Times New Roman"/>
                <w:b/>
                <w:lang w:eastAsia="uk-UA"/>
              </w:rPr>
            </w:pPr>
            <w:r w:rsidRPr="008F1598">
              <w:rPr>
                <w:rFonts w:eastAsia="Times New Roman" w:cs="Times New Roman"/>
                <w:b/>
                <w:lang w:eastAsia="uk-UA"/>
              </w:rPr>
              <w:t>100</w:t>
            </w:r>
            <w:r>
              <w:rPr>
                <w:rFonts w:eastAsia="Times New Roman" w:cs="Times New Roman"/>
                <w:b/>
                <w:lang w:eastAsia="uk-UA"/>
              </w:rPr>
              <w:t xml:space="preserve"> </w:t>
            </w:r>
            <w:r w:rsidRPr="008F1598">
              <w:rPr>
                <w:rFonts w:eastAsia="Times New Roman" w:cs="Times New Roman"/>
                <w:b/>
                <w:lang w:eastAsia="uk-UA"/>
              </w:rPr>
              <w:t>286,7</w:t>
            </w:r>
          </w:p>
        </w:tc>
        <w:tc>
          <w:tcPr>
            <w:tcW w:w="1559" w:type="dxa"/>
            <w:tcBorders>
              <w:top w:val="single" w:sz="4" w:space="0" w:color="auto"/>
              <w:left w:val="nil"/>
              <w:bottom w:val="single" w:sz="8" w:space="0" w:color="auto"/>
              <w:right w:val="single" w:sz="4" w:space="0" w:color="auto"/>
            </w:tcBorders>
            <w:shd w:val="clear" w:color="000000" w:fill="FFFFFF"/>
            <w:vAlign w:val="center"/>
          </w:tcPr>
          <w:p w:rsidR="00737C4D" w:rsidRPr="008F1598" w:rsidRDefault="00737C4D" w:rsidP="00A73882">
            <w:pPr>
              <w:jc w:val="center"/>
              <w:rPr>
                <w:rFonts w:eastAsia="Times New Roman" w:cs="Times New Roman"/>
                <w:b/>
                <w:lang w:eastAsia="uk-UA"/>
              </w:rPr>
            </w:pPr>
            <w:r w:rsidRPr="008F1598">
              <w:rPr>
                <w:rFonts w:eastAsia="Times New Roman" w:cs="Times New Roman"/>
                <w:b/>
                <w:lang w:eastAsia="uk-UA"/>
              </w:rPr>
              <w:t>77</w:t>
            </w:r>
            <w:r>
              <w:rPr>
                <w:rFonts w:eastAsia="Times New Roman" w:cs="Times New Roman"/>
                <w:b/>
                <w:lang w:eastAsia="uk-UA"/>
              </w:rPr>
              <w:t xml:space="preserve"> </w:t>
            </w:r>
            <w:r w:rsidRPr="008F1598">
              <w:rPr>
                <w:rFonts w:eastAsia="Times New Roman" w:cs="Times New Roman"/>
                <w:b/>
                <w:lang w:eastAsia="uk-UA"/>
              </w:rPr>
              <w:t>315,7</w:t>
            </w:r>
          </w:p>
        </w:tc>
        <w:tc>
          <w:tcPr>
            <w:tcW w:w="1560" w:type="dxa"/>
            <w:tcBorders>
              <w:top w:val="single" w:sz="4" w:space="0" w:color="auto"/>
              <w:left w:val="nil"/>
              <w:bottom w:val="single" w:sz="8" w:space="0" w:color="auto"/>
              <w:right w:val="single" w:sz="4" w:space="0" w:color="auto"/>
            </w:tcBorders>
            <w:shd w:val="clear" w:color="000000" w:fill="FFFFFF"/>
            <w:vAlign w:val="center"/>
          </w:tcPr>
          <w:p w:rsidR="00737C4D" w:rsidRPr="008F1598" w:rsidRDefault="00737C4D" w:rsidP="00A73882">
            <w:pPr>
              <w:jc w:val="center"/>
              <w:rPr>
                <w:rFonts w:eastAsia="Times New Roman" w:cs="Times New Roman"/>
                <w:b/>
                <w:lang w:eastAsia="uk-UA"/>
              </w:rPr>
            </w:pPr>
            <w:r w:rsidRPr="008F1598">
              <w:rPr>
                <w:rFonts w:eastAsia="Times New Roman" w:cs="Times New Roman"/>
                <w:b/>
                <w:lang w:eastAsia="uk-UA"/>
              </w:rPr>
              <w:t>50</w:t>
            </w:r>
            <w:r>
              <w:rPr>
                <w:rFonts w:eastAsia="Times New Roman" w:cs="Times New Roman"/>
                <w:b/>
                <w:lang w:eastAsia="uk-UA"/>
              </w:rPr>
              <w:t xml:space="preserve"> </w:t>
            </w:r>
            <w:r w:rsidRPr="008F1598">
              <w:rPr>
                <w:rFonts w:eastAsia="Times New Roman" w:cs="Times New Roman"/>
                <w:b/>
                <w:lang w:eastAsia="uk-UA"/>
              </w:rPr>
              <w:t>399,2</w:t>
            </w:r>
          </w:p>
        </w:tc>
        <w:tc>
          <w:tcPr>
            <w:tcW w:w="1636" w:type="dxa"/>
            <w:tcBorders>
              <w:top w:val="single" w:sz="4" w:space="0" w:color="auto"/>
              <w:left w:val="nil"/>
              <w:bottom w:val="single" w:sz="8" w:space="0" w:color="auto"/>
              <w:right w:val="single" w:sz="4" w:space="0" w:color="auto"/>
            </w:tcBorders>
            <w:shd w:val="clear" w:color="000000" w:fill="FFFFFF"/>
            <w:vAlign w:val="center"/>
          </w:tcPr>
          <w:p w:rsidR="00737C4D" w:rsidRPr="008F1598" w:rsidRDefault="00737C4D" w:rsidP="00A73882">
            <w:pPr>
              <w:jc w:val="center"/>
              <w:rPr>
                <w:rFonts w:eastAsia="Times New Roman" w:cs="Times New Roman"/>
                <w:b/>
                <w:lang w:eastAsia="uk-UA"/>
              </w:rPr>
            </w:pPr>
            <w:r w:rsidRPr="008F1598">
              <w:rPr>
                <w:rFonts w:eastAsia="Times New Roman" w:cs="Times New Roman"/>
                <w:b/>
                <w:lang w:eastAsia="uk-UA"/>
              </w:rPr>
              <w:t>25</w:t>
            </w:r>
            <w:r>
              <w:rPr>
                <w:rFonts w:eastAsia="Times New Roman" w:cs="Times New Roman"/>
                <w:b/>
                <w:lang w:eastAsia="uk-UA"/>
              </w:rPr>
              <w:t xml:space="preserve"> </w:t>
            </w:r>
            <w:r w:rsidRPr="008F1598">
              <w:rPr>
                <w:rFonts w:eastAsia="Times New Roman" w:cs="Times New Roman"/>
                <w:b/>
                <w:lang w:eastAsia="uk-UA"/>
              </w:rPr>
              <w:t>884,7</w:t>
            </w:r>
          </w:p>
        </w:tc>
        <w:tc>
          <w:tcPr>
            <w:tcW w:w="1766" w:type="dxa"/>
            <w:tcBorders>
              <w:top w:val="single" w:sz="4" w:space="0" w:color="auto"/>
              <w:left w:val="nil"/>
              <w:bottom w:val="single" w:sz="8" w:space="0" w:color="auto"/>
              <w:right w:val="single" w:sz="4" w:space="0" w:color="auto"/>
            </w:tcBorders>
            <w:shd w:val="clear" w:color="000000" w:fill="FFFFFF"/>
            <w:vAlign w:val="center"/>
          </w:tcPr>
          <w:p w:rsidR="00737C4D" w:rsidRPr="008F1598" w:rsidRDefault="00737C4D" w:rsidP="00A73882">
            <w:pPr>
              <w:jc w:val="center"/>
              <w:rPr>
                <w:rFonts w:eastAsia="Times New Roman" w:cs="Times New Roman"/>
                <w:b/>
                <w:lang w:eastAsia="uk-UA"/>
              </w:rPr>
            </w:pPr>
            <w:r w:rsidRPr="008F1598">
              <w:rPr>
                <w:rFonts w:eastAsia="Times New Roman" w:cs="Times New Roman"/>
                <w:b/>
                <w:lang w:eastAsia="uk-UA"/>
              </w:rPr>
              <w:t>150</w:t>
            </w:r>
            <w:r>
              <w:rPr>
                <w:rFonts w:eastAsia="Times New Roman" w:cs="Times New Roman"/>
                <w:b/>
                <w:lang w:eastAsia="uk-UA"/>
              </w:rPr>
              <w:t xml:space="preserve"> </w:t>
            </w:r>
            <w:r w:rsidRPr="008F1598">
              <w:rPr>
                <w:rFonts w:eastAsia="Times New Roman" w:cs="Times New Roman"/>
                <w:b/>
                <w:lang w:eastAsia="uk-UA"/>
              </w:rPr>
              <w:t>674,9</w:t>
            </w:r>
          </w:p>
        </w:tc>
        <w:tc>
          <w:tcPr>
            <w:tcW w:w="1569" w:type="dxa"/>
            <w:tcBorders>
              <w:top w:val="single" w:sz="4" w:space="0" w:color="auto"/>
              <w:left w:val="nil"/>
              <w:bottom w:val="single" w:sz="8" w:space="0" w:color="auto"/>
              <w:right w:val="single" w:sz="8" w:space="0" w:color="auto"/>
            </w:tcBorders>
            <w:shd w:val="clear" w:color="000000" w:fill="FFFFFF"/>
            <w:vAlign w:val="center"/>
          </w:tcPr>
          <w:p w:rsidR="00737C4D" w:rsidRPr="008F1598" w:rsidRDefault="00737C4D" w:rsidP="00A73882">
            <w:pPr>
              <w:jc w:val="center"/>
              <w:rPr>
                <w:rFonts w:eastAsia="Times New Roman" w:cs="Times New Roman"/>
                <w:b/>
                <w:lang w:eastAsia="uk-UA"/>
              </w:rPr>
            </w:pPr>
            <w:r w:rsidRPr="008F1598">
              <w:rPr>
                <w:rFonts w:eastAsia="Times New Roman" w:cs="Times New Roman"/>
                <w:b/>
                <w:lang w:eastAsia="uk-UA"/>
              </w:rPr>
              <w:t>103</w:t>
            </w:r>
            <w:r>
              <w:rPr>
                <w:rFonts w:eastAsia="Times New Roman" w:cs="Times New Roman"/>
                <w:b/>
                <w:lang w:eastAsia="uk-UA"/>
              </w:rPr>
              <w:t xml:space="preserve"> </w:t>
            </w:r>
            <w:r w:rsidRPr="008F1598">
              <w:rPr>
                <w:rFonts w:eastAsia="Times New Roman" w:cs="Times New Roman"/>
                <w:b/>
                <w:lang w:eastAsia="uk-UA"/>
              </w:rPr>
              <w:t>200,4</w:t>
            </w:r>
          </w:p>
        </w:tc>
      </w:tr>
    </w:tbl>
    <w:p w:rsidR="00737C4D" w:rsidRDefault="00737C4D" w:rsidP="00737C4D"/>
    <w:p w:rsidR="00737C4D" w:rsidRDefault="00737C4D" w:rsidP="00737C4D"/>
    <w:p w:rsidR="00E60298" w:rsidRPr="00ED0067" w:rsidRDefault="00E60298" w:rsidP="00E60298">
      <w:pPr>
        <w:ind w:left="708" w:firstLine="708"/>
      </w:pPr>
      <w:r w:rsidRPr="00ED0067">
        <w:t>Начальник управління економічного</w:t>
      </w:r>
    </w:p>
    <w:p w:rsidR="00E60298" w:rsidRDefault="00E60298" w:rsidP="00E60298">
      <w:pPr>
        <w:ind w:left="708" w:firstLine="708"/>
      </w:pPr>
      <w:r w:rsidRPr="00ED0067">
        <w:t>та інтеграційного розвитку</w:t>
      </w:r>
      <w:r w:rsidRPr="00ED0067">
        <w:tab/>
      </w:r>
      <w:r w:rsidRPr="00ED0067">
        <w:tab/>
      </w:r>
      <w:r w:rsidRPr="00ED0067">
        <w:tab/>
      </w:r>
      <w:r w:rsidRPr="00ED0067">
        <w:tab/>
      </w:r>
      <w:r w:rsidRPr="00ED0067">
        <w:tab/>
      </w:r>
      <w:r>
        <w:rPr>
          <w:lang w:val="uk-UA"/>
        </w:rPr>
        <w:tab/>
      </w:r>
      <w:r>
        <w:rPr>
          <w:lang w:val="uk-UA"/>
        </w:rPr>
        <w:tab/>
      </w:r>
      <w:r>
        <w:rPr>
          <w:lang w:val="uk-UA"/>
        </w:rPr>
        <w:tab/>
      </w:r>
      <w:r>
        <w:rPr>
          <w:lang w:val="uk-UA"/>
        </w:rPr>
        <w:tab/>
      </w:r>
      <w:r>
        <w:rPr>
          <w:lang w:val="uk-UA"/>
        </w:rPr>
        <w:tab/>
      </w:r>
      <w:r>
        <w:rPr>
          <w:lang w:val="uk-UA"/>
        </w:rPr>
        <w:tab/>
      </w:r>
      <w:r w:rsidRPr="00ED0067">
        <w:t>Надія Кромкач</w:t>
      </w:r>
    </w:p>
    <w:p w:rsidR="00737C4D" w:rsidRPr="00DE39AC" w:rsidRDefault="00737C4D" w:rsidP="007B5FC8">
      <w:pPr>
        <w:rPr>
          <w:i/>
          <w:lang w:val="uk-UA"/>
        </w:rPr>
        <w:sectPr w:rsidR="00737C4D" w:rsidRPr="00DE39AC" w:rsidSect="007B5FC8">
          <w:pgSz w:w="16838" w:h="11906" w:orient="landscape"/>
          <w:pgMar w:top="1985" w:right="709" w:bottom="567" w:left="567" w:header="567" w:footer="397" w:gutter="0"/>
          <w:cols w:space="708"/>
          <w:docGrid w:linePitch="381"/>
        </w:sectPr>
      </w:pPr>
    </w:p>
    <w:p w:rsidR="007B5FC8" w:rsidRPr="00720DC2" w:rsidRDefault="007B5FC8" w:rsidP="007B5FC8">
      <w:pPr>
        <w:rPr>
          <w:lang w:val="uk-UA"/>
        </w:rPr>
      </w:pPr>
    </w:p>
    <w:p w:rsidR="008C3625" w:rsidRDefault="008C3625"/>
    <w:sectPr w:rsidR="008C3625" w:rsidSect="007B5FC8">
      <w:pgSz w:w="11906" w:h="16838"/>
      <w:pgMar w:top="709" w:right="567" w:bottom="567" w:left="1985" w:header="567" w:footer="397"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350F" w:rsidRDefault="00F2350F">
      <w:r>
        <w:separator/>
      </w:r>
    </w:p>
  </w:endnote>
  <w:endnote w:type="continuationSeparator" w:id="0">
    <w:p w:rsidR="00F2350F" w:rsidRDefault="00F23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Gotham Pro Medium">
    <w:altName w:val="Gotham Pro Medium"/>
    <w:panose1 w:val="00000000000000000000"/>
    <w:charset w:val="CC"/>
    <w:family w:val="swiss"/>
    <w:notTrueType/>
    <w:pitch w:val="default"/>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 w:name="TimesNewRomanOOEnc">
    <w:altName w:val="MS Gothic"/>
    <w:panose1 w:val="00000000000000000000"/>
    <w:charset w:val="80"/>
    <w:family w:val="auto"/>
    <w:notTrueType/>
    <w:pitch w:val="default"/>
    <w:sig w:usb0="00000001"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350F" w:rsidRDefault="00F2350F">
      <w:r>
        <w:separator/>
      </w:r>
    </w:p>
  </w:footnote>
  <w:footnote w:type="continuationSeparator" w:id="0">
    <w:p w:rsidR="00F2350F" w:rsidRDefault="00F235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248610"/>
      <w:docPartObj>
        <w:docPartGallery w:val="Page Numbers (Top of Page)"/>
        <w:docPartUnique/>
      </w:docPartObj>
    </w:sdtPr>
    <w:sdtEndPr/>
    <w:sdtContent>
      <w:p w:rsidR="00A73882" w:rsidRDefault="00A73882">
        <w:pPr>
          <w:pStyle w:val="a6"/>
          <w:jc w:val="center"/>
        </w:pPr>
        <w:r w:rsidRPr="00B83BA9">
          <w:rPr>
            <w:rFonts w:ascii="Times New Roman" w:hAnsi="Times New Roman" w:cs="Times New Roman"/>
            <w:sz w:val="24"/>
            <w:szCs w:val="24"/>
          </w:rPr>
          <w:fldChar w:fldCharType="begin"/>
        </w:r>
        <w:r w:rsidRPr="00B83BA9">
          <w:rPr>
            <w:rFonts w:ascii="Times New Roman" w:hAnsi="Times New Roman" w:cs="Times New Roman"/>
            <w:sz w:val="24"/>
            <w:szCs w:val="24"/>
          </w:rPr>
          <w:instrText>PAGE   \* MERGEFORMAT</w:instrText>
        </w:r>
        <w:r w:rsidRPr="00B83BA9">
          <w:rPr>
            <w:rFonts w:ascii="Times New Roman" w:hAnsi="Times New Roman" w:cs="Times New Roman"/>
            <w:sz w:val="24"/>
            <w:szCs w:val="24"/>
          </w:rPr>
          <w:fldChar w:fldCharType="separate"/>
        </w:r>
        <w:r w:rsidR="00E50112">
          <w:rPr>
            <w:rFonts w:ascii="Times New Roman" w:hAnsi="Times New Roman" w:cs="Times New Roman"/>
            <w:noProof/>
            <w:sz w:val="24"/>
            <w:szCs w:val="24"/>
          </w:rPr>
          <w:t>24</w:t>
        </w:r>
        <w:r w:rsidRPr="00B83BA9">
          <w:rPr>
            <w:rFonts w:ascii="Times New Roman" w:hAnsi="Times New Roman" w:cs="Times New Roman"/>
            <w:sz w:val="24"/>
            <w:szCs w:val="24"/>
          </w:rPr>
          <w:fldChar w:fldCharType="end"/>
        </w:r>
      </w:p>
    </w:sdtContent>
  </w:sdt>
  <w:p w:rsidR="00A73882" w:rsidRDefault="00A73882">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3882" w:rsidRDefault="00A73882">
    <w:pPr>
      <w:pStyle w:val="a6"/>
      <w:jc w:val="center"/>
    </w:pPr>
  </w:p>
  <w:p w:rsidR="00A73882" w:rsidRDefault="00A73882">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A14F95"/>
    <w:multiLevelType w:val="hybridMultilevel"/>
    <w:tmpl w:val="4D506756"/>
    <w:lvl w:ilvl="0" w:tplc="69BCAE68">
      <w:start w:val="1"/>
      <w:numFmt w:val="decimal"/>
      <w:lvlText w:val="%1."/>
      <w:lvlJc w:val="left"/>
      <w:pPr>
        <w:ind w:left="1778" w:hanging="360"/>
      </w:pPr>
      <w:rPr>
        <w:rFonts w:hint="default"/>
        <w:b/>
      </w:rPr>
    </w:lvl>
    <w:lvl w:ilvl="1" w:tplc="04220019" w:tentative="1">
      <w:start w:val="1"/>
      <w:numFmt w:val="lowerLetter"/>
      <w:lvlText w:val="%2."/>
      <w:lvlJc w:val="left"/>
      <w:pPr>
        <w:ind w:left="2498" w:hanging="360"/>
      </w:pPr>
    </w:lvl>
    <w:lvl w:ilvl="2" w:tplc="0422001B" w:tentative="1">
      <w:start w:val="1"/>
      <w:numFmt w:val="lowerRoman"/>
      <w:lvlText w:val="%3."/>
      <w:lvlJc w:val="right"/>
      <w:pPr>
        <w:ind w:left="3218" w:hanging="180"/>
      </w:pPr>
    </w:lvl>
    <w:lvl w:ilvl="3" w:tplc="0422000F" w:tentative="1">
      <w:start w:val="1"/>
      <w:numFmt w:val="decimal"/>
      <w:lvlText w:val="%4."/>
      <w:lvlJc w:val="left"/>
      <w:pPr>
        <w:ind w:left="3938" w:hanging="360"/>
      </w:pPr>
    </w:lvl>
    <w:lvl w:ilvl="4" w:tplc="04220019" w:tentative="1">
      <w:start w:val="1"/>
      <w:numFmt w:val="lowerLetter"/>
      <w:lvlText w:val="%5."/>
      <w:lvlJc w:val="left"/>
      <w:pPr>
        <w:ind w:left="4658" w:hanging="360"/>
      </w:pPr>
    </w:lvl>
    <w:lvl w:ilvl="5" w:tplc="0422001B" w:tentative="1">
      <w:start w:val="1"/>
      <w:numFmt w:val="lowerRoman"/>
      <w:lvlText w:val="%6."/>
      <w:lvlJc w:val="right"/>
      <w:pPr>
        <w:ind w:left="5378" w:hanging="180"/>
      </w:pPr>
    </w:lvl>
    <w:lvl w:ilvl="6" w:tplc="0422000F" w:tentative="1">
      <w:start w:val="1"/>
      <w:numFmt w:val="decimal"/>
      <w:lvlText w:val="%7."/>
      <w:lvlJc w:val="left"/>
      <w:pPr>
        <w:ind w:left="6098" w:hanging="360"/>
      </w:pPr>
    </w:lvl>
    <w:lvl w:ilvl="7" w:tplc="04220019" w:tentative="1">
      <w:start w:val="1"/>
      <w:numFmt w:val="lowerLetter"/>
      <w:lvlText w:val="%8."/>
      <w:lvlJc w:val="left"/>
      <w:pPr>
        <w:ind w:left="6818" w:hanging="360"/>
      </w:pPr>
    </w:lvl>
    <w:lvl w:ilvl="8" w:tplc="0422001B" w:tentative="1">
      <w:start w:val="1"/>
      <w:numFmt w:val="lowerRoman"/>
      <w:lvlText w:val="%9."/>
      <w:lvlJc w:val="right"/>
      <w:pPr>
        <w:ind w:left="7538" w:hanging="180"/>
      </w:pPr>
    </w:lvl>
  </w:abstractNum>
  <w:abstractNum w:abstractNumId="1" w15:restartNumberingAfterBreak="0">
    <w:nsid w:val="094D0256"/>
    <w:multiLevelType w:val="hybridMultilevel"/>
    <w:tmpl w:val="8A682B50"/>
    <w:lvl w:ilvl="0" w:tplc="E72290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A18699C"/>
    <w:multiLevelType w:val="hybridMultilevel"/>
    <w:tmpl w:val="AB381B80"/>
    <w:lvl w:ilvl="0" w:tplc="77C4304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0D0A7100"/>
    <w:multiLevelType w:val="multilevel"/>
    <w:tmpl w:val="CC42940E"/>
    <w:lvl w:ilvl="0">
      <w:start w:val="4"/>
      <w:numFmt w:val="decimal"/>
      <w:lvlText w:val="%1"/>
      <w:lvlJc w:val="left"/>
      <w:pPr>
        <w:ind w:left="375" w:hanging="375"/>
      </w:pPr>
      <w:rPr>
        <w:rFonts w:hint="default"/>
      </w:rPr>
    </w:lvl>
    <w:lvl w:ilvl="1">
      <w:start w:val="1"/>
      <w:numFmt w:val="decimal"/>
      <w:lvlText w:val="%1.%2"/>
      <w:lvlJc w:val="left"/>
      <w:pPr>
        <w:ind w:left="1075" w:hanging="375"/>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4" w15:restartNumberingAfterBreak="0">
    <w:nsid w:val="0E9803A7"/>
    <w:multiLevelType w:val="hybridMultilevel"/>
    <w:tmpl w:val="8FDA0CBC"/>
    <w:lvl w:ilvl="0" w:tplc="9F38ACC4">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5" w15:restartNumberingAfterBreak="0">
    <w:nsid w:val="14035AEC"/>
    <w:multiLevelType w:val="hybridMultilevel"/>
    <w:tmpl w:val="176CCC1E"/>
    <w:lvl w:ilvl="0" w:tplc="177EC134">
      <w:start w:val="580"/>
      <w:numFmt w:val="bullet"/>
      <w:lvlText w:val="-"/>
      <w:lvlJc w:val="left"/>
      <w:pPr>
        <w:ind w:left="360" w:hanging="360"/>
      </w:pPr>
      <w:rPr>
        <w:rFonts w:ascii="Times New Roman" w:eastAsia="Calibri" w:hAnsi="Times New Roman" w:cs="Times New Roman" w:hint="default"/>
        <w:color w:val="auto"/>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15:restartNumberingAfterBreak="0">
    <w:nsid w:val="1AE4509C"/>
    <w:multiLevelType w:val="hybridMultilevel"/>
    <w:tmpl w:val="0BC6E530"/>
    <w:lvl w:ilvl="0" w:tplc="24A66286">
      <w:start w:val="1"/>
      <w:numFmt w:val="bullet"/>
      <w:lvlText w:val=""/>
      <w:lvlJc w:val="left"/>
      <w:pPr>
        <w:ind w:left="720" w:hanging="360"/>
      </w:pPr>
      <w:rPr>
        <w:rFonts w:ascii="Symbol" w:hAnsi="Symbol" w:hint="default"/>
        <w:color w:val="auto"/>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1E903C9F"/>
    <w:multiLevelType w:val="hybridMultilevel"/>
    <w:tmpl w:val="137CC1E4"/>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1F780398"/>
    <w:multiLevelType w:val="hybridMultilevel"/>
    <w:tmpl w:val="0D4679C8"/>
    <w:lvl w:ilvl="0" w:tplc="DFBA9864">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00F76A4"/>
    <w:multiLevelType w:val="hybridMultilevel"/>
    <w:tmpl w:val="9ABA80BE"/>
    <w:lvl w:ilvl="0" w:tplc="9DFE7EE4">
      <w:start w:val="1"/>
      <w:numFmt w:val="bullet"/>
      <w:lvlText w:val=""/>
      <w:lvlJc w:val="left"/>
      <w:pPr>
        <w:tabs>
          <w:tab w:val="num" w:pos="720"/>
        </w:tabs>
        <w:ind w:left="720" w:hanging="360"/>
      </w:pPr>
      <w:rPr>
        <w:rFonts w:ascii="Wingdings" w:hAnsi="Wingdings" w:hint="default"/>
      </w:rPr>
    </w:lvl>
    <w:lvl w:ilvl="1" w:tplc="65CA61D2" w:tentative="1">
      <w:start w:val="1"/>
      <w:numFmt w:val="bullet"/>
      <w:lvlText w:val=""/>
      <w:lvlJc w:val="left"/>
      <w:pPr>
        <w:tabs>
          <w:tab w:val="num" w:pos="1440"/>
        </w:tabs>
        <w:ind w:left="1440" w:hanging="360"/>
      </w:pPr>
      <w:rPr>
        <w:rFonts w:ascii="Wingdings" w:hAnsi="Wingdings" w:hint="default"/>
      </w:rPr>
    </w:lvl>
    <w:lvl w:ilvl="2" w:tplc="1F881968" w:tentative="1">
      <w:start w:val="1"/>
      <w:numFmt w:val="bullet"/>
      <w:lvlText w:val=""/>
      <w:lvlJc w:val="left"/>
      <w:pPr>
        <w:tabs>
          <w:tab w:val="num" w:pos="2160"/>
        </w:tabs>
        <w:ind w:left="2160" w:hanging="360"/>
      </w:pPr>
      <w:rPr>
        <w:rFonts w:ascii="Wingdings" w:hAnsi="Wingdings" w:hint="default"/>
      </w:rPr>
    </w:lvl>
    <w:lvl w:ilvl="3" w:tplc="F65E2828" w:tentative="1">
      <w:start w:val="1"/>
      <w:numFmt w:val="bullet"/>
      <w:lvlText w:val=""/>
      <w:lvlJc w:val="left"/>
      <w:pPr>
        <w:tabs>
          <w:tab w:val="num" w:pos="2880"/>
        </w:tabs>
        <w:ind w:left="2880" w:hanging="360"/>
      </w:pPr>
      <w:rPr>
        <w:rFonts w:ascii="Wingdings" w:hAnsi="Wingdings" w:hint="default"/>
      </w:rPr>
    </w:lvl>
    <w:lvl w:ilvl="4" w:tplc="DCBA4E6E" w:tentative="1">
      <w:start w:val="1"/>
      <w:numFmt w:val="bullet"/>
      <w:lvlText w:val=""/>
      <w:lvlJc w:val="left"/>
      <w:pPr>
        <w:tabs>
          <w:tab w:val="num" w:pos="3600"/>
        </w:tabs>
        <w:ind w:left="3600" w:hanging="360"/>
      </w:pPr>
      <w:rPr>
        <w:rFonts w:ascii="Wingdings" w:hAnsi="Wingdings" w:hint="default"/>
      </w:rPr>
    </w:lvl>
    <w:lvl w:ilvl="5" w:tplc="67C0AE4A" w:tentative="1">
      <w:start w:val="1"/>
      <w:numFmt w:val="bullet"/>
      <w:lvlText w:val=""/>
      <w:lvlJc w:val="left"/>
      <w:pPr>
        <w:tabs>
          <w:tab w:val="num" w:pos="4320"/>
        </w:tabs>
        <w:ind w:left="4320" w:hanging="360"/>
      </w:pPr>
      <w:rPr>
        <w:rFonts w:ascii="Wingdings" w:hAnsi="Wingdings" w:hint="default"/>
      </w:rPr>
    </w:lvl>
    <w:lvl w:ilvl="6" w:tplc="F7368526" w:tentative="1">
      <w:start w:val="1"/>
      <w:numFmt w:val="bullet"/>
      <w:lvlText w:val=""/>
      <w:lvlJc w:val="left"/>
      <w:pPr>
        <w:tabs>
          <w:tab w:val="num" w:pos="5040"/>
        </w:tabs>
        <w:ind w:left="5040" w:hanging="360"/>
      </w:pPr>
      <w:rPr>
        <w:rFonts w:ascii="Wingdings" w:hAnsi="Wingdings" w:hint="default"/>
      </w:rPr>
    </w:lvl>
    <w:lvl w:ilvl="7" w:tplc="A6B61DDC" w:tentative="1">
      <w:start w:val="1"/>
      <w:numFmt w:val="bullet"/>
      <w:lvlText w:val=""/>
      <w:lvlJc w:val="left"/>
      <w:pPr>
        <w:tabs>
          <w:tab w:val="num" w:pos="5760"/>
        </w:tabs>
        <w:ind w:left="5760" w:hanging="360"/>
      </w:pPr>
      <w:rPr>
        <w:rFonts w:ascii="Wingdings" w:hAnsi="Wingdings" w:hint="default"/>
      </w:rPr>
    </w:lvl>
    <w:lvl w:ilvl="8" w:tplc="F98AB806"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16078F4"/>
    <w:multiLevelType w:val="hybridMultilevel"/>
    <w:tmpl w:val="6C767678"/>
    <w:lvl w:ilvl="0" w:tplc="2C528C42">
      <w:start w:val="1"/>
      <w:numFmt w:val="bullet"/>
      <w:lvlText w:val="-"/>
      <w:lvlJc w:val="left"/>
      <w:pPr>
        <w:ind w:left="1080" w:hanging="360"/>
      </w:pPr>
      <w:rPr>
        <w:rFonts w:ascii="Helvetica" w:eastAsia="Times New Roman" w:hAnsi="Helvetica" w:cs="Helvetica" w:hint="default"/>
        <w:color w:val="000000"/>
        <w:sz w:val="20"/>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15:restartNumberingAfterBreak="0">
    <w:nsid w:val="332F5D00"/>
    <w:multiLevelType w:val="hybridMultilevel"/>
    <w:tmpl w:val="406CC9CE"/>
    <w:lvl w:ilvl="0" w:tplc="DF9A90DE">
      <w:start w:val="1"/>
      <w:numFmt w:val="decimal"/>
      <w:lvlText w:val="%1."/>
      <w:lvlJc w:val="left"/>
      <w:pPr>
        <w:ind w:left="1211" w:hanging="360"/>
      </w:pPr>
      <w:rPr>
        <w:rFonts w:hint="default"/>
        <w:color w:val="000000" w:themeColor="text1"/>
      </w:rPr>
    </w:lvl>
    <w:lvl w:ilvl="1" w:tplc="04220019" w:tentative="1">
      <w:start w:val="1"/>
      <w:numFmt w:val="lowerLetter"/>
      <w:lvlText w:val="%2."/>
      <w:lvlJc w:val="left"/>
      <w:pPr>
        <w:ind w:left="2006" w:hanging="360"/>
      </w:pPr>
    </w:lvl>
    <w:lvl w:ilvl="2" w:tplc="0422001B" w:tentative="1">
      <w:start w:val="1"/>
      <w:numFmt w:val="lowerRoman"/>
      <w:lvlText w:val="%3."/>
      <w:lvlJc w:val="right"/>
      <w:pPr>
        <w:ind w:left="2726" w:hanging="180"/>
      </w:pPr>
    </w:lvl>
    <w:lvl w:ilvl="3" w:tplc="0422000F" w:tentative="1">
      <w:start w:val="1"/>
      <w:numFmt w:val="decimal"/>
      <w:lvlText w:val="%4."/>
      <w:lvlJc w:val="left"/>
      <w:pPr>
        <w:ind w:left="3446" w:hanging="360"/>
      </w:pPr>
    </w:lvl>
    <w:lvl w:ilvl="4" w:tplc="04220019" w:tentative="1">
      <w:start w:val="1"/>
      <w:numFmt w:val="lowerLetter"/>
      <w:lvlText w:val="%5."/>
      <w:lvlJc w:val="left"/>
      <w:pPr>
        <w:ind w:left="4166" w:hanging="360"/>
      </w:pPr>
    </w:lvl>
    <w:lvl w:ilvl="5" w:tplc="0422001B" w:tentative="1">
      <w:start w:val="1"/>
      <w:numFmt w:val="lowerRoman"/>
      <w:lvlText w:val="%6."/>
      <w:lvlJc w:val="right"/>
      <w:pPr>
        <w:ind w:left="4886" w:hanging="180"/>
      </w:pPr>
    </w:lvl>
    <w:lvl w:ilvl="6" w:tplc="0422000F" w:tentative="1">
      <w:start w:val="1"/>
      <w:numFmt w:val="decimal"/>
      <w:lvlText w:val="%7."/>
      <w:lvlJc w:val="left"/>
      <w:pPr>
        <w:ind w:left="5606" w:hanging="360"/>
      </w:pPr>
    </w:lvl>
    <w:lvl w:ilvl="7" w:tplc="04220019" w:tentative="1">
      <w:start w:val="1"/>
      <w:numFmt w:val="lowerLetter"/>
      <w:lvlText w:val="%8."/>
      <w:lvlJc w:val="left"/>
      <w:pPr>
        <w:ind w:left="6326" w:hanging="360"/>
      </w:pPr>
    </w:lvl>
    <w:lvl w:ilvl="8" w:tplc="0422001B" w:tentative="1">
      <w:start w:val="1"/>
      <w:numFmt w:val="lowerRoman"/>
      <w:lvlText w:val="%9."/>
      <w:lvlJc w:val="right"/>
      <w:pPr>
        <w:ind w:left="7046" w:hanging="180"/>
      </w:pPr>
    </w:lvl>
  </w:abstractNum>
  <w:abstractNum w:abstractNumId="12" w15:restartNumberingAfterBreak="0">
    <w:nsid w:val="3519324C"/>
    <w:multiLevelType w:val="hybridMultilevel"/>
    <w:tmpl w:val="A4B646AA"/>
    <w:lvl w:ilvl="0" w:tplc="77C4304C">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388B5CB4"/>
    <w:multiLevelType w:val="hybridMultilevel"/>
    <w:tmpl w:val="675A5C7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DE10F84"/>
    <w:multiLevelType w:val="hybridMultilevel"/>
    <w:tmpl w:val="2D86BA20"/>
    <w:lvl w:ilvl="0" w:tplc="5F56E66A">
      <w:start w:val="5"/>
      <w:numFmt w:val="bullet"/>
      <w:lvlText w:val="-"/>
      <w:lvlJc w:val="left"/>
      <w:pPr>
        <w:ind w:left="720" w:hanging="360"/>
      </w:pPr>
      <w:rPr>
        <w:rFonts w:ascii="Calibri" w:eastAsia="Calibr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438C17A5"/>
    <w:multiLevelType w:val="hybridMultilevel"/>
    <w:tmpl w:val="30323C78"/>
    <w:lvl w:ilvl="0" w:tplc="4810F82E">
      <w:start w:val="1"/>
      <w:numFmt w:val="bullet"/>
      <w:lvlText w:val="-"/>
      <w:lvlJc w:val="left"/>
      <w:pPr>
        <w:tabs>
          <w:tab w:val="num" w:pos="720"/>
        </w:tabs>
        <w:ind w:left="720" w:hanging="360"/>
      </w:pPr>
      <w:rPr>
        <w:rFonts w:ascii="Times New Roman" w:hAnsi="Times New Roman" w:hint="default"/>
      </w:rPr>
    </w:lvl>
    <w:lvl w:ilvl="1" w:tplc="B4468438" w:tentative="1">
      <w:start w:val="1"/>
      <w:numFmt w:val="bullet"/>
      <w:lvlText w:val="-"/>
      <w:lvlJc w:val="left"/>
      <w:pPr>
        <w:tabs>
          <w:tab w:val="num" w:pos="1440"/>
        </w:tabs>
        <w:ind w:left="1440" w:hanging="360"/>
      </w:pPr>
      <w:rPr>
        <w:rFonts w:ascii="Times New Roman" w:hAnsi="Times New Roman" w:hint="default"/>
      </w:rPr>
    </w:lvl>
    <w:lvl w:ilvl="2" w:tplc="FDA8B0F2" w:tentative="1">
      <w:start w:val="1"/>
      <w:numFmt w:val="bullet"/>
      <w:lvlText w:val="-"/>
      <w:lvlJc w:val="left"/>
      <w:pPr>
        <w:tabs>
          <w:tab w:val="num" w:pos="2160"/>
        </w:tabs>
        <w:ind w:left="2160" w:hanging="360"/>
      </w:pPr>
      <w:rPr>
        <w:rFonts w:ascii="Times New Roman" w:hAnsi="Times New Roman" w:hint="default"/>
      </w:rPr>
    </w:lvl>
    <w:lvl w:ilvl="3" w:tplc="EAA2F032" w:tentative="1">
      <w:start w:val="1"/>
      <w:numFmt w:val="bullet"/>
      <w:lvlText w:val="-"/>
      <w:lvlJc w:val="left"/>
      <w:pPr>
        <w:tabs>
          <w:tab w:val="num" w:pos="2880"/>
        </w:tabs>
        <w:ind w:left="2880" w:hanging="360"/>
      </w:pPr>
      <w:rPr>
        <w:rFonts w:ascii="Times New Roman" w:hAnsi="Times New Roman" w:hint="default"/>
      </w:rPr>
    </w:lvl>
    <w:lvl w:ilvl="4" w:tplc="57AE24C0" w:tentative="1">
      <w:start w:val="1"/>
      <w:numFmt w:val="bullet"/>
      <w:lvlText w:val="-"/>
      <w:lvlJc w:val="left"/>
      <w:pPr>
        <w:tabs>
          <w:tab w:val="num" w:pos="3600"/>
        </w:tabs>
        <w:ind w:left="3600" w:hanging="360"/>
      </w:pPr>
      <w:rPr>
        <w:rFonts w:ascii="Times New Roman" w:hAnsi="Times New Roman" w:hint="default"/>
      </w:rPr>
    </w:lvl>
    <w:lvl w:ilvl="5" w:tplc="5F3ACF44" w:tentative="1">
      <w:start w:val="1"/>
      <w:numFmt w:val="bullet"/>
      <w:lvlText w:val="-"/>
      <w:lvlJc w:val="left"/>
      <w:pPr>
        <w:tabs>
          <w:tab w:val="num" w:pos="4320"/>
        </w:tabs>
        <w:ind w:left="4320" w:hanging="360"/>
      </w:pPr>
      <w:rPr>
        <w:rFonts w:ascii="Times New Roman" w:hAnsi="Times New Roman" w:hint="default"/>
      </w:rPr>
    </w:lvl>
    <w:lvl w:ilvl="6" w:tplc="01789A50" w:tentative="1">
      <w:start w:val="1"/>
      <w:numFmt w:val="bullet"/>
      <w:lvlText w:val="-"/>
      <w:lvlJc w:val="left"/>
      <w:pPr>
        <w:tabs>
          <w:tab w:val="num" w:pos="5040"/>
        </w:tabs>
        <w:ind w:left="5040" w:hanging="360"/>
      </w:pPr>
      <w:rPr>
        <w:rFonts w:ascii="Times New Roman" w:hAnsi="Times New Roman" w:hint="default"/>
      </w:rPr>
    </w:lvl>
    <w:lvl w:ilvl="7" w:tplc="717658E0" w:tentative="1">
      <w:start w:val="1"/>
      <w:numFmt w:val="bullet"/>
      <w:lvlText w:val="-"/>
      <w:lvlJc w:val="left"/>
      <w:pPr>
        <w:tabs>
          <w:tab w:val="num" w:pos="5760"/>
        </w:tabs>
        <w:ind w:left="5760" w:hanging="360"/>
      </w:pPr>
      <w:rPr>
        <w:rFonts w:ascii="Times New Roman" w:hAnsi="Times New Roman" w:hint="default"/>
      </w:rPr>
    </w:lvl>
    <w:lvl w:ilvl="8" w:tplc="04523750"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453A7D60"/>
    <w:multiLevelType w:val="hybridMultilevel"/>
    <w:tmpl w:val="6532AB74"/>
    <w:lvl w:ilvl="0" w:tplc="FE664548">
      <w:start w:val="1"/>
      <w:numFmt w:val="bullet"/>
      <w:lvlText w:val=""/>
      <w:lvlJc w:val="left"/>
      <w:pPr>
        <w:tabs>
          <w:tab w:val="num" w:pos="720"/>
        </w:tabs>
        <w:ind w:left="720" w:hanging="360"/>
      </w:pPr>
      <w:rPr>
        <w:rFonts w:ascii="Wingdings" w:hAnsi="Wingdings" w:hint="default"/>
      </w:rPr>
    </w:lvl>
    <w:lvl w:ilvl="1" w:tplc="5D38C98E" w:tentative="1">
      <w:start w:val="1"/>
      <w:numFmt w:val="bullet"/>
      <w:lvlText w:val=""/>
      <w:lvlJc w:val="left"/>
      <w:pPr>
        <w:tabs>
          <w:tab w:val="num" w:pos="1440"/>
        </w:tabs>
        <w:ind w:left="1440" w:hanging="360"/>
      </w:pPr>
      <w:rPr>
        <w:rFonts w:ascii="Wingdings" w:hAnsi="Wingdings" w:hint="default"/>
      </w:rPr>
    </w:lvl>
    <w:lvl w:ilvl="2" w:tplc="06206AF8" w:tentative="1">
      <w:start w:val="1"/>
      <w:numFmt w:val="bullet"/>
      <w:lvlText w:val=""/>
      <w:lvlJc w:val="left"/>
      <w:pPr>
        <w:tabs>
          <w:tab w:val="num" w:pos="2160"/>
        </w:tabs>
        <w:ind w:left="2160" w:hanging="360"/>
      </w:pPr>
      <w:rPr>
        <w:rFonts w:ascii="Wingdings" w:hAnsi="Wingdings" w:hint="default"/>
      </w:rPr>
    </w:lvl>
    <w:lvl w:ilvl="3" w:tplc="39422028" w:tentative="1">
      <w:start w:val="1"/>
      <w:numFmt w:val="bullet"/>
      <w:lvlText w:val=""/>
      <w:lvlJc w:val="left"/>
      <w:pPr>
        <w:tabs>
          <w:tab w:val="num" w:pos="2880"/>
        </w:tabs>
        <w:ind w:left="2880" w:hanging="360"/>
      </w:pPr>
      <w:rPr>
        <w:rFonts w:ascii="Wingdings" w:hAnsi="Wingdings" w:hint="default"/>
      </w:rPr>
    </w:lvl>
    <w:lvl w:ilvl="4" w:tplc="DF24EAAA" w:tentative="1">
      <w:start w:val="1"/>
      <w:numFmt w:val="bullet"/>
      <w:lvlText w:val=""/>
      <w:lvlJc w:val="left"/>
      <w:pPr>
        <w:tabs>
          <w:tab w:val="num" w:pos="3600"/>
        </w:tabs>
        <w:ind w:left="3600" w:hanging="360"/>
      </w:pPr>
      <w:rPr>
        <w:rFonts w:ascii="Wingdings" w:hAnsi="Wingdings" w:hint="default"/>
      </w:rPr>
    </w:lvl>
    <w:lvl w:ilvl="5" w:tplc="02B053EE" w:tentative="1">
      <w:start w:val="1"/>
      <w:numFmt w:val="bullet"/>
      <w:lvlText w:val=""/>
      <w:lvlJc w:val="left"/>
      <w:pPr>
        <w:tabs>
          <w:tab w:val="num" w:pos="4320"/>
        </w:tabs>
        <w:ind w:left="4320" w:hanging="360"/>
      </w:pPr>
      <w:rPr>
        <w:rFonts w:ascii="Wingdings" w:hAnsi="Wingdings" w:hint="default"/>
      </w:rPr>
    </w:lvl>
    <w:lvl w:ilvl="6" w:tplc="37BEE260" w:tentative="1">
      <w:start w:val="1"/>
      <w:numFmt w:val="bullet"/>
      <w:lvlText w:val=""/>
      <w:lvlJc w:val="left"/>
      <w:pPr>
        <w:tabs>
          <w:tab w:val="num" w:pos="5040"/>
        </w:tabs>
        <w:ind w:left="5040" w:hanging="360"/>
      </w:pPr>
      <w:rPr>
        <w:rFonts w:ascii="Wingdings" w:hAnsi="Wingdings" w:hint="default"/>
      </w:rPr>
    </w:lvl>
    <w:lvl w:ilvl="7" w:tplc="2A36BBF6" w:tentative="1">
      <w:start w:val="1"/>
      <w:numFmt w:val="bullet"/>
      <w:lvlText w:val=""/>
      <w:lvlJc w:val="left"/>
      <w:pPr>
        <w:tabs>
          <w:tab w:val="num" w:pos="5760"/>
        </w:tabs>
        <w:ind w:left="5760" w:hanging="360"/>
      </w:pPr>
      <w:rPr>
        <w:rFonts w:ascii="Wingdings" w:hAnsi="Wingdings" w:hint="default"/>
      </w:rPr>
    </w:lvl>
    <w:lvl w:ilvl="8" w:tplc="822C4F52"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59642DE"/>
    <w:multiLevelType w:val="hybridMultilevel"/>
    <w:tmpl w:val="1610B42E"/>
    <w:lvl w:ilvl="0" w:tplc="076869BE">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8" w15:restartNumberingAfterBreak="0">
    <w:nsid w:val="482A33F2"/>
    <w:multiLevelType w:val="multilevel"/>
    <w:tmpl w:val="FB520BE8"/>
    <w:lvl w:ilvl="0">
      <w:start w:val="1"/>
      <w:numFmt w:val="decimal"/>
      <w:lvlText w:val="%1."/>
      <w:lvlJc w:val="left"/>
      <w:pPr>
        <w:ind w:left="1065" w:hanging="360"/>
      </w:pPr>
      <w:rPr>
        <w:rFonts w:hint="default"/>
      </w:rPr>
    </w:lvl>
    <w:lvl w:ilvl="1">
      <w:start w:val="2"/>
      <w:numFmt w:val="decimal"/>
      <w:isLgl/>
      <w:lvlText w:val="%1.%2"/>
      <w:lvlJc w:val="left"/>
      <w:pPr>
        <w:ind w:left="1301" w:hanging="450"/>
      </w:pPr>
      <w:rPr>
        <w:rFonts w:hint="default"/>
      </w:rPr>
    </w:lvl>
    <w:lvl w:ilvl="2">
      <w:start w:val="1"/>
      <w:numFmt w:val="decimal"/>
      <w:isLgl/>
      <w:lvlText w:val="%1.%2.%3"/>
      <w:lvlJc w:val="left"/>
      <w:pPr>
        <w:ind w:left="1717" w:hanging="720"/>
      </w:pPr>
      <w:rPr>
        <w:rFonts w:hint="default"/>
      </w:rPr>
    </w:lvl>
    <w:lvl w:ilvl="3">
      <w:start w:val="1"/>
      <w:numFmt w:val="decimal"/>
      <w:isLgl/>
      <w:lvlText w:val="%1.%2.%3.%4"/>
      <w:lvlJc w:val="left"/>
      <w:pPr>
        <w:ind w:left="2223" w:hanging="1080"/>
      </w:pPr>
      <w:rPr>
        <w:rFonts w:hint="default"/>
      </w:rPr>
    </w:lvl>
    <w:lvl w:ilvl="4">
      <w:start w:val="1"/>
      <w:numFmt w:val="decimal"/>
      <w:isLgl/>
      <w:lvlText w:val="%1.%2.%3.%4.%5"/>
      <w:lvlJc w:val="left"/>
      <w:pPr>
        <w:ind w:left="2369" w:hanging="1080"/>
      </w:pPr>
      <w:rPr>
        <w:rFonts w:hint="default"/>
      </w:rPr>
    </w:lvl>
    <w:lvl w:ilvl="5">
      <w:start w:val="1"/>
      <w:numFmt w:val="decimal"/>
      <w:isLgl/>
      <w:lvlText w:val="%1.%2.%3.%4.%5.%6"/>
      <w:lvlJc w:val="left"/>
      <w:pPr>
        <w:ind w:left="2875" w:hanging="1440"/>
      </w:pPr>
      <w:rPr>
        <w:rFonts w:hint="default"/>
      </w:rPr>
    </w:lvl>
    <w:lvl w:ilvl="6">
      <w:start w:val="1"/>
      <w:numFmt w:val="decimal"/>
      <w:isLgl/>
      <w:lvlText w:val="%1.%2.%3.%4.%5.%6.%7"/>
      <w:lvlJc w:val="left"/>
      <w:pPr>
        <w:ind w:left="3021" w:hanging="1440"/>
      </w:pPr>
      <w:rPr>
        <w:rFonts w:hint="default"/>
      </w:rPr>
    </w:lvl>
    <w:lvl w:ilvl="7">
      <w:start w:val="1"/>
      <w:numFmt w:val="decimal"/>
      <w:isLgl/>
      <w:lvlText w:val="%1.%2.%3.%4.%5.%6.%7.%8"/>
      <w:lvlJc w:val="left"/>
      <w:pPr>
        <w:ind w:left="3527" w:hanging="1800"/>
      </w:pPr>
      <w:rPr>
        <w:rFonts w:hint="default"/>
      </w:rPr>
    </w:lvl>
    <w:lvl w:ilvl="8">
      <w:start w:val="1"/>
      <w:numFmt w:val="decimal"/>
      <w:isLgl/>
      <w:lvlText w:val="%1.%2.%3.%4.%5.%6.%7.%8.%9"/>
      <w:lvlJc w:val="left"/>
      <w:pPr>
        <w:ind w:left="4033" w:hanging="2160"/>
      </w:pPr>
      <w:rPr>
        <w:rFonts w:hint="default"/>
      </w:rPr>
    </w:lvl>
  </w:abstractNum>
  <w:abstractNum w:abstractNumId="19" w15:restartNumberingAfterBreak="0">
    <w:nsid w:val="4B8916B2"/>
    <w:multiLevelType w:val="multilevel"/>
    <w:tmpl w:val="BFCC93B4"/>
    <w:lvl w:ilvl="0">
      <w:start w:val="4"/>
      <w:numFmt w:val="decimal"/>
      <w:lvlText w:val="%1."/>
      <w:lvlJc w:val="left"/>
      <w:pPr>
        <w:ind w:left="450" w:hanging="450"/>
      </w:pPr>
      <w:rPr>
        <w:rFonts w:hint="default"/>
      </w:rPr>
    </w:lvl>
    <w:lvl w:ilvl="1">
      <w:start w:val="6"/>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0" w15:restartNumberingAfterBreak="0">
    <w:nsid w:val="4F0E1E6D"/>
    <w:multiLevelType w:val="hybridMultilevel"/>
    <w:tmpl w:val="A010152C"/>
    <w:lvl w:ilvl="0" w:tplc="9FBEC600">
      <w:start w:val="26"/>
      <w:numFmt w:val="bullet"/>
      <w:lvlText w:val="-"/>
      <w:lvlJc w:val="left"/>
      <w:pPr>
        <w:ind w:left="360" w:hanging="360"/>
      </w:pPr>
      <w:rPr>
        <w:rFonts w:ascii="Times New Roman" w:eastAsia="Times New Roman" w:hAnsi="Times New Roman" w:cs="Times New Roman"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21" w15:restartNumberingAfterBreak="0">
    <w:nsid w:val="58684C15"/>
    <w:multiLevelType w:val="hybridMultilevel"/>
    <w:tmpl w:val="A5DEE8EE"/>
    <w:lvl w:ilvl="0" w:tplc="F75E7E7A">
      <w:numFmt w:val="bullet"/>
      <w:lvlText w:val="-"/>
      <w:lvlJc w:val="left"/>
      <w:pPr>
        <w:ind w:left="1068" w:hanging="360"/>
      </w:pPr>
      <w:rPr>
        <w:rFonts w:ascii="Times New Roman" w:eastAsiaTheme="minorHAns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22" w15:restartNumberingAfterBreak="0">
    <w:nsid w:val="62895E4A"/>
    <w:multiLevelType w:val="hybridMultilevel"/>
    <w:tmpl w:val="1D16596A"/>
    <w:lvl w:ilvl="0" w:tplc="13EA74FA">
      <w:numFmt w:val="bullet"/>
      <w:lvlText w:val="-"/>
      <w:lvlJc w:val="left"/>
      <w:pPr>
        <w:tabs>
          <w:tab w:val="num" w:pos="1428"/>
        </w:tabs>
        <w:ind w:left="1428" w:hanging="360"/>
      </w:pPr>
      <w:rPr>
        <w:rFonts w:ascii="Times New Roman" w:eastAsia="Times New Roman" w:hAnsi="Times New Roman" w:cs="Times New Roman"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3" w15:restartNumberingAfterBreak="0">
    <w:nsid w:val="64EC054D"/>
    <w:multiLevelType w:val="hybridMultilevel"/>
    <w:tmpl w:val="99561F3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15:restartNumberingAfterBreak="0">
    <w:nsid w:val="6F2A5D82"/>
    <w:multiLevelType w:val="hybridMultilevel"/>
    <w:tmpl w:val="106EA6BA"/>
    <w:lvl w:ilvl="0" w:tplc="6CEABB3A">
      <w:numFmt w:val="bullet"/>
      <w:lvlText w:val="-"/>
      <w:lvlJc w:val="left"/>
      <w:pPr>
        <w:ind w:left="90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15:restartNumberingAfterBreak="0">
    <w:nsid w:val="707472D3"/>
    <w:multiLevelType w:val="hybridMultilevel"/>
    <w:tmpl w:val="61E87378"/>
    <w:lvl w:ilvl="0" w:tplc="68389830">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6" w15:restartNumberingAfterBreak="0">
    <w:nsid w:val="734862A5"/>
    <w:multiLevelType w:val="hybridMultilevel"/>
    <w:tmpl w:val="4FBA1232"/>
    <w:lvl w:ilvl="0" w:tplc="DAEC2F4E">
      <w:start w:val="1"/>
      <w:numFmt w:val="bullet"/>
      <w:lvlText w:val="-"/>
      <w:lvlJc w:val="left"/>
      <w:pPr>
        <w:tabs>
          <w:tab w:val="num" w:pos="720"/>
        </w:tabs>
        <w:ind w:left="720" w:hanging="360"/>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42C7D9F"/>
    <w:multiLevelType w:val="hybridMultilevel"/>
    <w:tmpl w:val="D5C6C32E"/>
    <w:lvl w:ilvl="0" w:tplc="7038738A">
      <w:numFmt w:val="bullet"/>
      <w:lvlText w:val="–"/>
      <w:lvlJc w:val="left"/>
      <w:pPr>
        <w:tabs>
          <w:tab w:val="num" w:pos="432"/>
        </w:tabs>
        <w:ind w:left="432" w:hanging="360"/>
      </w:pPr>
      <w:rPr>
        <w:rFonts w:ascii="Times New Roman" w:eastAsia="Times New Roman" w:hAnsi="Times New Roman" w:cs="Times New Roman" w:hint="default"/>
      </w:rPr>
    </w:lvl>
    <w:lvl w:ilvl="1" w:tplc="04220003" w:tentative="1">
      <w:start w:val="1"/>
      <w:numFmt w:val="bullet"/>
      <w:lvlText w:val="o"/>
      <w:lvlJc w:val="left"/>
      <w:pPr>
        <w:tabs>
          <w:tab w:val="num" w:pos="1152"/>
        </w:tabs>
        <w:ind w:left="1152" w:hanging="360"/>
      </w:pPr>
      <w:rPr>
        <w:rFonts w:ascii="Courier New" w:hAnsi="Courier New" w:cs="Courier New" w:hint="default"/>
      </w:rPr>
    </w:lvl>
    <w:lvl w:ilvl="2" w:tplc="04220005" w:tentative="1">
      <w:start w:val="1"/>
      <w:numFmt w:val="bullet"/>
      <w:lvlText w:val=""/>
      <w:lvlJc w:val="left"/>
      <w:pPr>
        <w:tabs>
          <w:tab w:val="num" w:pos="1872"/>
        </w:tabs>
        <w:ind w:left="1872" w:hanging="360"/>
      </w:pPr>
      <w:rPr>
        <w:rFonts w:ascii="Wingdings" w:hAnsi="Wingdings" w:hint="default"/>
      </w:rPr>
    </w:lvl>
    <w:lvl w:ilvl="3" w:tplc="04220001" w:tentative="1">
      <w:start w:val="1"/>
      <w:numFmt w:val="bullet"/>
      <w:lvlText w:val=""/>
      <w:lvlJc w:val="left"/>
      <w:pPr>
        <w:tabs>
          <w:tab w:val="num" w:pos="2592"/>
        </w:tabs>
        <w:ind w:left="2592" w:hanging="360"/>
      </w:pPr>
      <w:rPr>
        <w:rFonts w:ascii="Symbol" w:hAnsi="Symbol" w:hint="default"/>
      </w:rPr>
    </w:lvl>
    <w:lvl w:ilvl="4" w:tplc="04220003" w:tentative="1">
      <w:start w:val="1"/>
      <w:numFmt w:val="bullet"/>
      <w:lvlText w:val="o"/>
      <w:lvlJc w:val="left"/>
      <w:pPr>
        <w:tabs>
          <w:tab w:val="num" w:pos="3312"/>
        </w:tabs>
        <w:ind w:left="3312" w:hanging="360"/>
      </w:pPr>
      <w:rPr>
        <w:rFonts w:ascii="Courier New" w:hAnsi="Courier New" w:cs="Courier New" w:hint="default"/>
      </w:rPr>
    </w:lvl>
    <w:lvl w:ilvl="5" w:tplc="04220005" w:tentative="1">
      <w:start w:val="1"/>
      <w:numFmt w:val="bullet"/>
      <w:lvlText w:val=""/>
      <w:lvlJc w:val="left"/>
      <w:pPr>
        <w:tabs>
          <w:tab w:val="num" w:pos="4032"/>
        </w:tabs>
        <w:ind w:left="4032" w:hanging="360"/>
      </w:pPr>
      <w:rPr>
        <w:rFonts w:ascii="Wingdings" w:hAnsi="Wingdings" w:hint="default"/>
      </w:rPr>
    </w:lvl>
    <w:lvl w:ilvl="6" w:tplc="04220001" w:tentative="1">
      <w:start w:val="1"/>
      <w:numFmt w:val="bullet"/>
      <w:lvlText w:val=""/>
      <w:lvlJc w:val="left"/>
      <w:pPr>
        <w:tabs>
          <w:tab w:val="num" w:pos="4752"/>
        </w:tabs>
        <w:ind w:left="4752" w:hanging="360"/>
      </w:pPr>
      <w:rPr>
        <w:rFonts w:ascii="Symbol" w:hAnsi="Symbol" w:hint="default"/>
      </w:rPr>
    </w:lvl>
    <w:lvl w:ilvl="7" w:tplc="04220003" w:tentative="1">
      <w:start w:val="1"/>
      <w:numFmt w:val="bullet"/>
      <w:lvlText w:val="o"/>
      <w:lvlJc w:val="left"/>
      <w:pPr>
        <w:tabs>
          <w:tab w:val="num" w:pos="5472"/>
        </w:tabs>
        <w:ind w:left="5472" w:hanging="360"/>
      </w:pPr>
      <w:rPr>
        <w:rFonts w:ascii="Courier New" w:hAnsi="Courier New" w:cs="Courier New" w:hint="default"/>
      </w:rPr>
    </w:lvl>
    <w:lvl w:ilvl="8" w:tplc="04220005" w:tentative="1">
      <w:start w:val="1"/>
      <w:numFmt w:val="bullet"/>
      <w:lvlText w:val=""/>
      <w:lvlJc w:val="left"/>
      <w:pPr>
        <w:tabs>
          <w:tab w:val="num" w:pos="6192"/>
        </w:tabs>
        <w:ind w:left="6192" w:hanging="360"/>
      </w:pPr>
      <w:rPr>
        <w:rFonts w:ascii="Wingdings" w:hAnsi="Wingdings" w:hint="default"/>
      </w:rPr>
    </w:lvl>
  </w:abstractNum>
  <w:abstractNum w:abstractNumId="28" w15:restartNumberingAfterBreak="0">
    <w:nsid w:val="792F3FA7"/>
    <w:multiLevelType w:val="hybridMultilevel"/>
    <w:tmpl w:val="549C7BD4"/>
    <w:lvl w:ilvl="0" w:tplc="B6F0841E">
      <w:numFmt w:val="bullet"/>
      <w:lvlText w:val="-"/>
      <w:lvlJc w:val="left"/>
      <w:pPr>
        <w:ind w:left="1287" w:hanging="360"/>
      </w:pPr>
      <w:rPr>
        <w:rFonts w:ascii="Times New Roman" w:eastAsia="Times New Roman" w:hAnsi="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9" w15:restartNumberingAfterBreak="0">
    <w:nsid w:val="7B220A3C"/>
    <w:multiLevelType w:val="hybridMultilevel"/>
    <w:tmpl w:val="B44C3F5E"/>
    <w:lvl w:ilvl="0" w:tplc="77C4304C">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30" w15:restartNumberingAfterBreak="0">
    <w:nsid w:val="7BE6708D"/>
    <w:multiLevelType w:val="hybridMultilevel"/>
    <w:tmpl w:val="65C483A0"/>
    <w:lvl w:ilvl="0" w:tplc="2E2A653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CF234A4"/>
    <w:multiLevelType w:val="hybridMultilevel"/>
    <w:tmpl w:val="81A07000"/>
    <w:lvl w:ilvl="0" w:tplc="8D0A5232">
      <w:start w:val="1"/>
      <w:numFmt w:val="bullet"/>
      <w:lvlText w:val=""/>
      <w:lvlJc w:val="left"/>
      <w:pPr>
        <w:ind w:left="720" w:hanging="360"/>
      </w:pPr>
      <w:rPr>
        <w:rFonts w:ascii="Symbol" w:hAnsi="Symbol" w:hint="default"/>
      </w:rPr>
    </w:lvl>
    <w:lvl w:ilvl="1" w:tplc="8D0A523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EAD186F"/>
    <w:multiLevelType w:val="hybridMultilevel"/>
    <w:tmpl w:val="E1D6795C"/>
    <w:lvl w:ilvl="0" w:tplc="8D0A5232">
      <w:start w:val="1"/>
      <w:numFmt w:val="bullet"/>
      <w:lvlText w:val=""/>
      <w:lvlJc w:val="left"/>
      <w:pPr>
        <w:ind w:left="720" w:hanging="360"/>
      </w:pPr>
      <w:rPr>
        <w:rFonts w:ascii="Symbol" w:hAnsi="Symbol" w:hint="default"/>
      </w:rPr>
    </w:lvl>
    <w:lvl w:ilvl="1" w:tplc="2B6E6E82">
      <w:start w:val="100"/>
      <w:numFmt w:val="bullet"/>
      <w:lvlText w:val="-"/>
      <w:lvlJc w:val="left"/>
      <w:pPr>
        <w:ind w:left="1440" w:hanging="360"/>
      </w:pPr>
      <w:rPr>
        <w:rFonts w:ascii="Times New Roman" w:eastAsia="Calibr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0"/>
  </w:num>
  <w:num w:numId="2">
    <w:abstractNumId w:val="18"/>
  </w:num>
  <w:num w:numId="3">
    <w:abstractNumId w:val="27"/>
  </w:num>
  <w:num w:numId="4">
    <w:abstractNumId w:val="10"/>
  </w:num>
  <w:num w:numId="5">
    <w:abstractNumId w:val="5"/>
  </w:num>
  <w:num w:numId="6">
    <w:abstractNumId w:val="1"/>
  </w:num>
  <w:num w:numId="7">
    <w:abstractNumId w:val="8"/>
  </w:num>
  <w:num w:numId="8">
    <w:abstractNumId w:val="6"/>
  </w:num>
  <w:num w:numId="9">
    <w:abstractNumId w:val="32"/>
  </w:num>
  <w:num w:numId="10">
    <w:abstractNumId w:val="31"/>
  </w:num>
  <w:num w:numId="11">
    <w:abstractNumId w:val="14"/>
  </w:num>
  <w:num w:numId="12">
    <w:abstractNumId w:val="25"/>
  </w:num>
  <w:num w:numId="13">
    <w:abstractNumId w:val="3"/>
  </w:num>
  <w:num w:numId="14">
    <w:abstractNumId w:val="21"/>
  </w:num>
  <w:num w:numId="1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num>
  <w:num w:numId="17">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0"/>
  </w:num>
  <w:num w:numId="19">
    <w:abstractNumId w:val="12"/>
  </w:num>
  <w:num w:numId="20">
    <w:abstractNumId w:val="29"/>
  </w:num>
  <w:num w:numId="21">
    <w:abstractNumId w:val="2"/>
  </w:num>
  <w:num w:numId="22">
    <w:abstractNumId w:val="11"/>
  </w:num>
  <w:num w:numId="23">
    <w:abstractNumId w:val="13"/>
  </w:num>
  <w:num w:numId="24">
    <w:abstractNumId w:val="26"/>
  </w:num>
  <w:num w:numId="25">
    <w:abstractNumId w:val="19"/>
  </w:num>
  <w:num w:numId="26">
    <w:abstractNumId w:val="28"/>
  </w:num>
  <w:num w:numId="27">
    <w:abstractNumId w:val="9"/>
  </w:num>
  <w:num w:numId="28">
    <w:abstractNumId w:val="15"/>
  </w:num>
  <w:num w:numId="29">
    <w:abstractNumId w:val="16"/>
  </w:num>
  <w:num w:numId="30">
    <w:abstractNumId w:val="0"/>
  </w:num>
  <w:num w:numId="31">
    <w:abstractNumId w:val="7"/>
  </w:num>
  <w:num w:numId="32">
    <w:abstractNumId w:val="23"/>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FC8"/>
    <w:rsid w:val="00016958"/>
    <w:rsid w:val="00043E31"/>
    <w:rsid w:val="0004503D"/>
    <w:rsid w:val="00055EED"/>
    <w:rsid w:val="000601B9"/>
    <w:rsid w:val="0006253F"/>
    <w:rsid w:val="000B136B"/>
    <w:rsid w:val="000D47CE"/>
    <w:rsid w:val="000E4853"/>
    <w:rsid w:val="000F0272"/>
    <w:rsid w:val="000F3A3B"/>
    <w:rsid w:val="000F3B73"/>
    <w:rsid w:val="00111F7B"/>
    <w:rsid w:val="001511BD"/>
    <w:rsid w:val="001517E0"/>
    <w:rsid w:val="00151BDA"/>
    <w:rsid w:val="001570B8"/>
    <w:rsid w:val="00172906"/>
    <w:rsid w:val="00177C3C"/>
    <w:rsid w:val="00181FBF"/>
    <w:rsid w:val="001912E5"/>
    <w:rsid w:val="0019413C"/>
    <w:rsid w:val="001A5103"/>
    <w:rsid w:val="001B3077"/>
    <w:rsid w:val="001C1B07"/>
    <w:rsid w:val="001C7560"/>
    <w:rsid w:val="001C7BF5"/>
    <w:rsid w:val="001D4831"/>
    <w:rsid w:val="001E14A9"/>
    <w:rsid w:val="001E26D7"/>
    <w:rsid w:val="001E6713"/>
    <w:rsid w:val="001F2E4C"/>
    <w:rsid w:val="0020512C"/>
    <w:rsid w:val="00216AD2"/>
    <w:rsid w:val="00230B72"/>
    <w:rsid w:val="00231C1E"/>
    <w:rsid w:val="002346CE"/>
    <w:rsid w:val="0026782E"/>
    <w:rsid w:val="0028609F"/>
    <w:rsid w:val="00286268"/>
    <w:rsid w:val="002925D0"/>
    <w:rsid w:val="002B4FD3"/>
    <w:rsid w:val="002C1529"/>
    <w:rsid w:val="002C2EEC"/>
    <w:rsid w:val="00305386"/>
    <w:rsid w:val="003066DC"/>
    <w:rsid w:val="0031141D"/>
    <w:rsid w:val="00320E35"/>
    <w:rsid w:val="00327C0D"/>
    <w:rsid w:val="00356309"/>
    <w:rsid w:val="00392FD2"/>
    <w:rsid w:val="003A35B1"/>
    <w:rsid w:val="003A6ABC"/>
    <w:rsid w:val="003B3820"/>
    <w:rsid w:val="003E0FA6"/>
    <w:rsid w:val="003E1949"/>
    <w:rsid w:val="003E5553"/>
    <w:rsid w:val="00404993"/>
    <w:rsid w:val="00411C3C"/>
    <w:rsid w:val="0041361A"/>
    <w:rsid w:val="00420478"/>
    <w:rsid w:val="00435E81"/>
    <w:rsid w:val="00440CFE"/>
    <w:rsid w:val="00445AA1"/>
    <w:rsid w:val="00447F21"/>
    <w:rsid w:val="004765E6"/>
    <w:rsid w:val="0048665C"/>
    <w:rsid w:val="004D329F"/>
    <w:rsid w:val="004E5BF9"/>
    <w:rsid w:val="004E7F81"/>
    <w:rsid w:val="00524A3C"/>
    <w:rsid w:val="005254B9"/>
    <w:rsid w:val="005533C8"/>
    <w:rsid w:val="0056500D"/>
    <w:rsid w:val="00592A4A"/>
    <w:rsid w:val="00595A04"/>
    <w:rsid w:val="005A1AC2"/>
    <w:rsid w:val="005B063C"/>
    <w:rsid w:val="005B772A"/>
    <w:rsid w:val="005C5B32"/>
    <w:rsid w:val="005C5F03"/>
    <w:rsid w:val="005C691E"/>
    <w:rsid w:val="005D760A"/>
    <w:rsid w:val="005E6884"/>
    <w:rsid w:val="0061141A"/>
    <w:rsid w:val="0062608A"/>
    <w:rsid w:val="006346CF"/>
    <w:rsid w:val="006720A6"/>
    <w:rsid w:val="0068007A"/>
    <w:rsid w:val="00685475"/>
    <w:rsid w:val="00694CDB"/>
    <w:rsid w:val="006A082F"/>
    <w:rsid w:val="006B5D7D"/>
    <w:rsid w:val="006C604C"/>
    <w:rsid w:val="006D1B6B"/>
    <w:rsid w:val="006D3CD0"/>
    <w:rsid w:val="006E3361"/>
    <w:rsid w:val="006E49BA"/>
    <w:rsid w:val="006F385C"/>
    <w:rsid w:val="006F5925"/>
    <w:rsid w:val="00707E45"/>
    <w:rsid w:val="00714100"/>
    <w:rsid w:val="00716FBF"/>
    <w:rsid w:val="00737C4D"/>
    <w:rsid w:val="00753702"/>
    <w:rsid w:val="007569A4"/>
    <w:rsid w:val="00777E72"/>
    <w:rsid w:val="00777FB3"/>
    <w:rsid w:val="007B287D"/>
    <w:rsid w:val="007B3F23"/>
    <w:rsid w:val="007B5FC8"/>
    <w:rsid w:val="007D5072"/>
    <w:rsid w:val="007E59AC"/>
    <w:rsid w:val="007E6300"/>
    <w:rsid w:val="007F1861"/>
    <w:rsid w:val="0080506C"/>
    <w:rsid w:val="00811EDC"/>
    <w:rsid w:val="00813F20"/>
    <w:rsid w:val="00821D80"/>
    <w:rsid w:val="008517ED"/>
    <w:rsid w:val="00860C8D"/>
    <w:rsid w:val="00881A22"/>
    <w:rsid w:val="008C3625"/>
    <w:rsid w:val="008D0276"/>
    <w:rsid w:val="008E38F1"/>
    <w:rsid w:val="008F6694"/>
    <w:rsid w:val="009068D8"/>
    <w:rsid w:val="00915C4C"/>
    <w:rsid w:val="00920174"/>
    <w:rsid w:val="009201E2"/>
    <w:rsid w:val="00920408"/>
    <w:rsid w:val="009352C3"/>
    <w:rsid w:val="009525BC"/>
    <w:rsid w:val="0095431F"/>
    <w:rsid w:val="00963DC2"/>
    <w:rsid w:val="009806AA"/>
    <w:rsid w:val="00983DDE"/>
    <w:rsid w:val="00991978"/>
    <w:rsid w:val="00993D0F"/>
    <w:rsid w:val="00993E43"/>
    <w:rsid w:val="009A3607"/>
    <w:rsid w:val="009A783B"/>
    <w:rsid w:val="009B13F9"/>
    <w:rsid w:val="009C5286"/>
    <w:rsid w:val="009D1F20"/>
    <w:rsid w:val="009D2C81"/>
    <w:rsid w:val="009E3285"/>
    <w:rsid w:val="009F2324"/>
    <w:rsid w:val="00A1015C"/>
    <w:rsid w:val="00A10E6C"/>
    <w:rsid w:val="00A26144"/>
    <w:rsid w:val="00A3024F"/>
    <w:rsid w:val="00A45FDE"/>
    <w:rsid w:val="00A5383D"/>
    <w:rsid w:val="00A5420F"/>
    <w:rsid w:val="00A73882"/>
    <w:rsid w:val="00A84EDA"/>
    <w:rsid w:val="00A91CD4"/>
    <w:rsid w:val="00AB1BC9"/>
    <w:rsid w:val="00AB2017"/>
    <w:rsid w:val="00AB5B88"/>
    <w:rsid w:val="00AD0B09"/>
    <w:rsid w:val="00AE4AA0"/>
    <w:rsid w:val="00AF62F2"/>
    <w:rsid w:val="00AF7231"/>
    <w:rsid w:val="00B018FC"/>
    <w:rsid w:val="00B07213"/>
    <w:rsid w:val="00B14C1F"/>
    <w:rsid w:val="00B17493"/>
    <w:rsid w:val="00B27A92"/>
    <w:rsid w:val="00B328CB"/>
    <w:rsid w:val="00B54215"/>
    <w:rsid w:val="00B71358"/>
    <w:rsid w:val="00B76C9E"/>
    <w:rsid w:val="00B77702"/>
    <w:rsid w:val="00B81809"/>
    <w:rsid w:val="00B81F5F"/>
    <w:rsid w:val="00B90D95"/>
    <w:rsid w:val="00BA1EAC"/>
    <w:rsid w:val="00BA4D08"/>
    <w:rsid w:val="00BB1AF1"/>
    <w:rsid w:val="00BE7CED"/>
    <w:rsid w:val="00C11B42"/>
    <w:rsid w:val="00C34F3B"/>
    <w:rsid w:val="00C41EA1"/>
    <w:rsid w:val="00C47A7C"/>
    <w:rsid w:val="00C50BA7"/>
    <w:rsid w:val="00C5553F"/>
    <w:rsid w:val="00C60843"/>
    <w:rsid w:val="00C717CD"/>
    <w:rsid w:val="00C73147"/>
    <w:rsid w:val="00C811FF"/>
    <w:rsid w:val="00C93312"/>
    <w:rsid w:val="00C935A8"/>
    <w:rsid w:val="00C93EEA"/>
    <w:rsid w:val="00CA180C"/>
    <w:rsid w:val="00CA631E"/>
    <w:rsid w:val="00CA6836"/>
    <w:rsid w:val="00CD09CF"/>
    <w:rsid w:val="00CE197A"/>
    <w:rsid w:val="00CE2847"/>
    <w:rsid w:val="00CE46FF"/>
    <w:rsid w:val="00D044E7"/>
    <w:rsid w:val="00D24A0C"/>
    <w:rsid w:val="00D25020"/>
    <w:rsid w:val="00D404F4"/>
    <w:rsid w:val="00D43F15"/>
    <w:rsid w:val="00D77287"/>
    <w:rsid w:val="00D847DD"/>
    <w:rsid w:val="00D877F4"/>
    <w:rsid w:val="00D979F9"/>
    <w:rsid w:val="00DD2FB5"/>
    <w:rsid w:val="00DD5807"/>
    <w:rsid w:val="00DF7A34"/>
    <w:rsid w:val="00E02F71"/>
    <w:rsid w:val="00E144E7"/>
    <w:rsid w:val="00E2548C"/>
    <w:rsid w:val="00E33404"/>
    <w:rsid w:val="00E42E39"/>
    <w:rsid w:val="00E50112"/>
    <w:rsid w:val="00E60298"/>
    <w:rsid w:val="00E604D2"/>
    <w:rsid w:val="00E65C41"/>
    <w:rsid w:val="00E65C6A"/>
    <w:rsid w:val="00EA1D32"/>
    <w:rsid w:val="00EA2DDF"/>
    <w:rsid w:val="00EA6F2F"/>
    <w:rsid w:val="00EB32CD"/>
    <w:rsid w:val="00EB72D9"/>
    <w:rsid w:val="00EB7598"/>
    <w:rsid w:val="00EC2826"/>
    <w:rsid w:val="00EC4FE2"/>
    <w:rsid w:val="00EC573E"/>
    <w:rsid w:val="00EC74F9"/>
    <w:rsid w:val="00ED65BE"/>
    <w:rsid w:val="00ED6B11"/>
    <w:rsid w:val="00EE0402"/>
    <w:rsid w:val="00EE7357"/>
    <w:rsid w:val="00EF2469"/>
    <w:rsid w:val="00EF65C3"/>
    <w:rsid w:val="00EF7CD1"/>
    <w:rsid w:val="00F0780B"/>
    <w:rsid w:val="00F07D5B"/>
    <w:rsid w:val="00F2350F"/>
    <w:rsid w:val="00F44AFD"/>
    <w:rsid w:val="00F52604"/>
    <w:rsid w:val="00F55B91"/>
    <w:rsid w:val="00F615E4"/>
    <w:rsid w:val="00F6629D"/>
    <w:rsid w:val="00F67B63"/>
    <w:rsid w:val="00F91D93"/>
    <w:rsid w:val="00FA4623"/>
    <w:rsid w:val="00FC35A9"/>
    <w:rsid w:val="00FC3CA5"/>
    <w:rsid w:val="00FC6FE4"/>
    <w:rsid w:val="00FC72E2"/>
    <w:rsid w:val="00FE246A"/>
    <w:rsid w:val="00FE6921"/>
    <w:rsid w:val="00FE76F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B9D59EB-0F20-43F1-A91D-D152AE2D80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5FC8"/>
    <w:pPr>
      <w:spacing w:after="0" w:line="240" w:lineRule="auto"/>
    </w:pPr>
    <w:rPr>
      <w:rFonts w:ascii="Times New Roman" w:hAnsi="Times New Roman" w:cs="Calibri"/>
      <w:sz w:val="28"/>
      <w:szCs w:val="28"/>
      <w:lang w:val="ru-RU"/>
    </w:rPr>
  </w:style>
  <w:style w:type="paragraph" w:styleId="1">
    <w:name w:val="heading 1"/>
    <w:basedOn w:val="a"/>
    <w:link w:val="10"/>
    <w:uiPriority w:val="1"/>
    <w:qFormat/>
    <w:rsid w:val="007B5FC8"/>
    <w:pPr>
      <w:widowControl w:val="0"/>
      <w:autoSpaceDE w:val="0"/>
      <w:autoSpaceDN w:val="0"/>
      <w:ind w:left="1306"/>
      <w:outlineLvl w:val="0"/>
    </w:pPr>
    <w:rPr>
      <w:rFonts w:ascii="Courier New" w:eastAsia="Courier New" w:hAnsi="Courier New" w:cs="Courier New"/>
      <w:sz w:val="26"/>
      <w:szCs w:val="26"/>
      <w:lang w:val="en-US"/>
    </w:rPr>
  </w:style>
  <w:style w:type="paragraph" w:styleId="2">
    <w:name w:val="heading 2"/>
    <w:basedOn w:val="a"/>
    <w:next w:val="a"/>
    <w:link w:val="20"/>
    <w:uiPriority w:val="9"/>
    <w:semiHidden/>
    <w:unhideWhenUsed/>
    <w:qFormat/>
    <w:rsid w:val="007B5FC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7B5FC8"/>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7B5FC8"/>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7B5FC8"/>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7B5FC8"/>
    <w:rPr>
      <w:rFonts w:ascii="Courier New" w:eastAsia="Courier New" w:hAnsi="Courier New" w:cs="Courier New"/>
      <w:sz w:val="26"/>
      <w:szCs w:val="26"/>
      <w:lang w:val="en-US"/>
    </w:rPr>
  </w:style>
  <w:style w:type="character" w:customStyle="1" w:styleId="20">
    <w:name w:val="Заголовок 2 Знак"/>
    <w:basedOn w:val="a0"/>
    <w:link w:val="2"/>
    <w:uiPriority w:val="9"/>
    <w:semiHidden/>
    <w:rsid w:val="007B5FC8"/>
    <w:rPr>
      <w:rFonts w:asciiTheme="majorHAnsi" w:eastAsiaTheme="majorEastAsia" w:hAnsiTheme="majorHAnsi" w:cstheme="majorBidi"/>
      <w:b/>
      <w:bCs/>
      <w:color w:val="4F81BD" w:themeColor="accent1"/>
      <w:sz w:val="26"/>
      <w:szCs w:val="26"/>
      <w:lang w:val="ru-RU"/>
    </w:rPr>
  </w:style>
  <w:style w:type="character" w:customStyle="1" w:styleId="30">
    <w:name w:val="Заголовок 3 Знак"/>
    <w:basedOn w:val="a0"/>
    <w:link w:val="3"/>
    <w:uiPriority w:val="9"/>
    <w:semiHidden/>
    <w:rsid w:val="007B5FC8"/>
    <w:rPr>
      <w:rFonts w:asciiTheme="majorHAnsi" w:eastAsiaTheme="majorEastAsia" w:hAnsiTheme="majorHAnsi" w:cstheme="majorBidi"/>
      <w:b/>
      <w:bCs/>
      <w:color w:val="4F81BD" w:themeColor="accent1"/>
      <w:sz w:val="28"/>
      <w:szCs w:val="28"/>
      <w:lang w:val="ru-RU"/>
    </w:rPr>
  </w:style>
  <w:style w:type="character" w:customStyle="1" w:styleId="40">
    <w:name w:val="Заголовок 4 Знак"/>
    <w:basedOn w:val="a0"/>
    <w:link w:val="4"/>
    <w:uiPriority w:val="9"/>
    <w:semiHidden/>
    <w:rsid w:val="007B5FC8"/>
    <w:rPr>
      <w:rFonts w:asciiTheme="majorHAnsi" w:eastAsiaTheme="majorEastAsia" w:hAnsiTheme="majorHAnsi" w:cstheme="majorBidi"/>
      <w:b/>
      <w:bCs/>
      <w:i/>
      <w:iCs/>
      <w:color w:val="4F81BD" w:themeColor="accent1"/>
      <w:sz w:val="28"/>
      <w:szCs w:val="28"/>
      <w:lang w:val="ru-RU"/>
    </w:rPr>
  </w:style>
  <w:style w:type="character" w:customStyle="1" w:styleId="50">
    <w:name w:val="Заголовок 5 Знак"/>
    <w:basedOn w:val="a0"/>
    <w:link w:val="5"/>
    <w:uiPriority w:val="9"/>
    <w:semiHidden/>
    <w:rsid w:val="007B5FC8"/>
    <w:rPr>
      <w:rFonts w:asciiTheme="majorHAnsi" w:eastAsiaTheme="majorEastAsia" w:hAnsiTheme="majorHAnsi" w:cstheme="majorBidi"/>
      <w:color w:val="243F60" w:themeColor="accent1" w:themeShade="7F"/>
      <w:sz w:val="28"/>
      <w:szCs w:val="28"/>
      <w:lang w:val="ru-RU"/>
    </w:rPr>
  </w:style>
  <w:style w:type="paragraph" w:styleId="a3">
    <w:name w:val="Body Text"/>
    <w:basedOn w:val="a"/>
    <w:link w:val="a4"/>
    <w:rsid w:val="007B5FC8"/>
    <w:pPr>
      <w:jc w:val="both"/>
    </w:pPr>
    <w:rPr>
      <w:rFonts w:eastAsia="Times New Roman" w:cs="Times New Roman"/>
      <w:sz w:val="20"/>
      <w:szCs w:val="24"/>
      <w:lang w:val="x-none" w:eastAsia="ru-RU"/>
    </w:rPr>
  </w:style>
  <w:style w:type="character" w:customStyle="1" w:styleId="a4">
    <w:name w:val="Основной текст Знак"/>
    <w:basedOn w:val="a0"/>
    <w:link w:val="a3"/>
    <w:rsid w:val="007B5FC8"/>
    <w:rPr>
      <w:rFonts w:ascii="Times New Roman" w:eastAsia="Times New Roman" w:hAnsi="Times New Roman" w:cs="Times New Roman"/>
      <w:sz w:val="20"/>
      <w:szCs w:val="24"/>
      <w:lang w:val="x-none" w:eastAsia="ru-RU"/>
    </w:rPr>
  </w:style>
  <w:style w:type="character" w:customStyle="1" w:styleId="a5">
    <w:name w:val="Верхний колонтитул Знак"/>
    <w:link w:val="a6"/>
    <w:uiPriority w:val="99"/>
    <w:rsid w:val="007B5FC8"/>
    <w:rPr>
      <w:rFonts w:eastAsia="Calibri" w:cs="Calibri"/>
    </w:rPr>
  </w:style>
  <w:style w:type="paragraph" w:styleId="a6">
    <w:name w:val="header"/>
    <w:basedOn w:val="a"/>
    <w:link w:val="a5"/>
    <w:uiPriority w:val="99"/>
    <w:unhideWhenUsed/>
    <w:rsid w:val="007B5FC8"/>
    <w:pPr>
      <w:tabs>
        <w:tab w:val="center" w:pos="4677"/>
        <w:tab w:val="right" w:pos="9355"/>
      </w:tabs>
    </w:pPr>
    <w:rPr>
      <w:rFonts w:asciiTheme="minorHAnsi" w:eastAsia="Calibri" w:hAnsiTheme="minorHAnsi"/>
      <w:sz w:val="22"/>
      <w:szCs w:val="22"/>
      <w:lang w:val="uk-UA"/>
    </w:rPr>
  </w:style>
  <w:style w:type="character" w:customStyle="1" w:styleId="11">
    <w:name w:val="Верхній колонтитул Знак1"/>
    <w:basedOn w:val="a0"/>
    <w:uiPriority w:val="99"/>
    <w:semiHidden/>
    <w:rsid w:val="007B5FC8"/>
    <w:rPr>
      <w:rFonts w:ascii="Times New Roman" w:hAnsi="Times New Roman" w:cs="Calibri"/>
      <w:sz w:val="28"/>
      <w:szCs w:val="28"/>
      <w:lang w:val="ru-RU"/>
    </w:rPr>
  </w:style>
  <w:style w:type="paragraph" w:styleId="a7">
    <w:name w:val="Body Text Indent"/>
    <w:basedOn w:val="a"/>
    <w:link w:val="a8"/>
    <w:uiPriority w:val="99"/>
    <w:rsid w:val="007B5FC8"/>
    <w:pPr>
      <w:spacing w:after="120"/>
      <w:ind w:left="283"/>
    </w:pPr>
    <w:rPr>
      <w:rFonts w:eastAsia="Times New Roman" w:cs="Times New Roman"/>
      <w:sz w:val="24"/>
      <w:szCs w:val="24"/>
      <w:lang w:val="x-none" w:eastAsia="ru-RU"/>
    </w:rPr>
  </w:style>
  <w:style w:type="character" w:customStyle="1" w:styleId="a8">
    <w:name w:val="Основной текст с отступом Знак"/>
    <w:basedOn w:val="a0"/>
    <w:link w:val="a7"/>
    <w:uiPriority w:val="99"/>
    <w:rsid w:val="007B5FC8"/>
    <w:rPr>
      <w:rFonts w:ascii="Times New Roman" w:eastAsia="Times New Roman" w:hAnsi="Times New Roman" w:cs="Times New Roman"/>
      <w:sz w:val="24"/>
      <w:szCs w:val="24"/>
      <w:lang w:val="x-none" w:eastAsia="ru-RU"/>
    </w:rPr>
  </w:style>
  <w:style w:type="character" w:styleId="a9">
    <w:name w:val="Strong"/>
    <w:uiPriority w:val="22"/>
    <w:qFormat/>
    <w:rsid w:val="007B5FC8"/>
    <w:rPr>
      <w:b/>
      <w:bCs/>
    </w:rPr>
  </w:style>
  <w:style w:type="character" w:customStyle="1" w:styleId="cnewsc">
    <w:name w:val="cnewsc"/>
    <w:basedOn w:val="a0"/>
    <w:rsid w:val="007B5FC8"/>
  </w:style>
  <w:style w:type="character" w:customStyle="1" w:styleId="21">
    <w:name w:val="Основной текст 2 Знак"/>
    <w:link w:val="22"/>
    <w:uiPriority w:val="99"/>
    <w:semiHidden/>
    <w:rsid w:val="007B5FC8"/>
    <w:rPr>
      <w:rFonts w:eastAsia="Times New Roman"/>
      <w:sz w:val="24"/>
      <w:szCs w:val="24"/>
      <w:lang w:eastAsia="ru-RU"/>
    </w:rPr>
  </w:style>
  <w:style w:type="paragraph" w:styleId="22">
    <w:name w:val="Body Text 2"/>
    <w:basedOn w:val="a"/>
    <w:link w:val="21"/>
    <w:uiPriority w:val="99"/>
    <w:semiHidden/>
    <w:unhideWhenUsed/>
    <w:rsid w:val="007B5FC8"/>
    <w:pPr>
      <w:spacing w:after="120" w:line="480" w:lineRule="auto"/>
    </w:pPr>
    <w:rPr>
      <w:rFonts w:asciiTheme="minorHAnsi" w:eastAsia="Times New Roman" w:hAnsiTheme="minorHAnsi" w:cstheme="minorBidi"/>
      <w:sz w:val="24"/>
      <w:szCs w:val="24"/>
      <w:lang w:val="uk-UA" w:eastAsia="ru-RU"/>
    </w:rPr>
  </w:style>
  <w:style w:type="character" w:customStyle="1" w:styleId="210">
    <w:name w:val="Основний текст 2 Знак1"/>
    <w:basedOn w:val="a0"/>
    <w:uiPriority w:val="99"/>
    <w:semiHidden/>
    <w:rsid w:val="007B5FC8"/>
    <w:rPr>
      <w:rFonts w:ascii="Times New Roman" w:hAnsi="Times New Roman" w:cs="Calibri"/>
      <w:sz w:val="28"/>
      <w:szCs w:val="28"/>
      <w:lang w:val="ru-RU"/>
    </w:rPr>
  </w:style>
  <w:style w:type="character" w:customStyle="1" w:styleId="211">
    <w:name w:val="Основной текст 2 Знак1"/>
    <w:basedOn w:val="a0"/>
    <w:uiPriority w:val="99"/>
    <w:semiHidden/>
    <w:rsid w:val="007B5FC8"/>
    <w:rPr>
      <w:rFonts w:ascii="Times New Roman" w:eastAsia="Calibri" w:hAnsi="Times New Roman" w:cs="Calibri"/>
      <w:sz w:val="28"/>
      <w:szCs w:val="28"/>
      <w:lang w:val="uk-UA"/>
    </w:rPr>
  </w:style>
  <w:style w:type="character" w:styleId="aa">
    <w:name w:val="Hyperlink"/>
    <w:uiPriority w:val="99"/>
    <w:unhideWhenUsed/>
    <w:rsid w:val="007B5FC8"/>
    <w:rPr>
      <w:color w:val="0000FF"/>
      <w:u w:val="single"/>
    </w:rPr>
  </w:style>
  <w:style w:type="paragraph" w:styleId="ab">
    <w:name w:val="Normal (Web)"/>
    <w:basedOn w:val="a"/>
    <w:uiPriority w:val="99"/>
    <w:rsid w:val="007B5FC8"/>
    <w:pPr>
      <w:spacing w:before="100" w:beforeAutospacing="1" w:after="100" w:afterAutospacing="1"/>
    </w:pPr>
    <w:rPr>
      <w:rFonts w:eastAsia="Times New Roman" w:cs="Times New Roman"/>
      <w:sz w:val="24"/>
      <w:szCs w:val="24"/>
      <w:lang w:eastAsia="ru-RU"/>
    </w:rPr>
  </w:style>
  <w:style w:type="character" w:customStyle="1" w:styleId="apple-converted-space">
    <w:name w:val="apple-converted-space"/>
    <w:basedOn w:val="a0"/>
    <w:rsid w:val="007B5FC8"/>
  </w:style>
  <w:style w:type="paragraph" w:styleId="ac">
    <w:name w:val="No Spacing"/>
    <w:link w:val="ad"/>
    <w:uiPriority w:val="1"/>
    <w:qFormat/>
    <w:rsid w:val="007B5FC8"/>
    <w:pPr>
      <w:spacing w:after="0" w:line="240" w:lineRule="auto"/>
    </w:pPr>
    <w:rPr>
      <w:rFonts w:ascii="Calibri" w:eastAsia="Calibri" w:hAnsi="Calibri" w:cs="Times New Roman"/>
      <w:sz w:val="28"/>
      <w:szCs w:val="28"/>
      <w:lang w:val="ru-RU"/>
    </w:rPr>
  </w:style>
  <w:style w:type="character" w:customStyle="1" w:styleId="ad">
    <w:name w:val="Без интервала Знак"/>
    <w:link w:val="ac"/>
    <w:uiPriority w:val="1"/>
    <w:rsid w:val="007B5FC8"/>
    <w:rPr>
      <w:rFonts w:ascii="Calibri" w:eastAsia="Calibri" w:hAnsi="Calibri" w:cs="Times New Roman"/>
      <w:sz w:val="28"/>
      <w:szCs w:val="28"/>
      <w:lang w:val="ru-RU"/>
    </w:rPr>
  </w:style>
  <w:style w:type="paragraph" w:customStyle="1" w:styleId="Pa3">
    <w:name w:val="Pa3"/>
    <w:basedOn w:val="a"/>
    <w:next w:val="a"/>
    <w:rsid w:val="007B5FC8"/>
    <w:pPr>
      <w:autoSpaceDE w:val="0"/>
      <w:autoSpaceDN w:val="0"/>
      <w:adjustRightInd w:val="0"/>
      <w:spacing w:line="241" w:lineRule="atLeast"/>
    </w:pPr>
    <w:rPr>
      <w:rFonts w:ascii="Arial Narrow" w:eastAsia="Times New Roman" w:hAnsi="Arial Narrow" w:cs="Times New Roman"/>
      <w:sz w:val="24"/>
      <w:szCs w:val="24"/>
      <w:lang w:eastAsia="ru-RU"/>
    </w:rPr>
  </w:style>
  <w:style w:type="character" w:customStyle="1" w:styleId="rvts7">
    <w:name w:val="rvts7"/>
    <w:basedOn w:val="a0"/>
    <w:rsid w:val="007B5FC8"/>
  </w:style>
  <w:style w:type="paragraph" w:styleId="ae">
    <w:name w:val="footnote text"/>
    <w:basedOn w:val="a"/>
    <w:link w:val="af"/>
    <w:semiHidden/>
    <w:unhideWhenUsed/>
    <w:rsid w:val="007B5FC8"/>
    <w:rPr>
      <w:rFonts w:eastAsia="Times New Roman" w:cs="Times New Roman"/>
      <w:sz w:val="20"/>
      <w:szCs w:val="20"/>
      <w:lang w:eastAsia="ru-RU"/>
    </w:rPr>
  </w:style>
  <w:style w:type="character" w:customStyle="1" w:styleId="af">
    <w:name w:val="Текст сноски Знак"/>
    <w:basedOn w:val="a0"/>
    <w:link w:val="ae"/>
    <w:semiHidden/>
    <w:rsid w:val="007B5FC8"/>
    <w:rPr>
      <w:rFonts w:ascii="Times New Roman" w:eastAsia="Times New Roman" w:hAnsi="Times New Roman" w:cs="Times New Roman"/>
      <w:sz w:val="20"/>
      <w:szCs w:val="20"/>
      <w:lang w:val="ru-RU" w:eastAsia="ru-RU"/>
    </w:rPr>
  </w:style>
  <w:style w:type="character" w:customStyle="1" w:styleId="spelle">
    <w:name w:val="spelle"/>
    <w:rsid w:val="007B5FC8"/>
  </w:style>
  <w:style w:type="character" w:customStyle="1" w:styleId="af0">
    <w:name w:val="Основной текст_"/>
    <w:link w:val="12"/>
    <w:rsid w:val="007B5FC8"/>
    <w:rPr>
      <w:rFonts w:ascii="Times New Roman" w:hAnsi="Times New Roman" w:cs="Times New Roman"/>
      <w:sz w:val="26"/>
      <w:szCs w:val="26"/>
      <w:shd w:val="clear" w:color="auto" w:fill="FFFFFF"/>
    </w:rPr>
  </w:style>
  <w:style w:type="paragraph" w:customStyle="1" w:styleId="12">
    <w:name w:val="Основной текст1"/>
    <w:basedOn w:val="a"/>
    <w:link w:val="af0"/>
    <w:rsid w:val="007B5FC8"/>
    <w:pPr>
      <w:widowControl w:val="0"/>
      <w:shd w:val="clear" w:color="auto" w:fill="FFFFFF"/>
      <w:spacing w:before="300" w:line="317" w:lineRule="exact"/>
      <w:ind w:firstLine="580"/>
      <w:jc w:val="both"/>
    </w:pPr>
    <w:rPr>
      <w:rFonts w:cs="Times New Roman"/>
      <w:sz w:val="26"/>
      <w:szCs w:val="26"/>
      <w:lang w:val="uk-UA"/>
    </w:rPr>
  </w:style>
  <w:style w:type="character" w:customStyle="1" w:styleId="grame">
    <w:name w:val="grame"/>
    <w:rsid w:val="007B5FC8"/>
  </w:style>
  <w:style w:type="paragraph" w:styleId="af1">
    <w:name w:val="List Paragraph"/>
    <w:basedOn w:val="a"/>
    <w:uiPriority w:val="34"/>
    <w:qFormat/>
    <w:rsid w:val="007B5FC8"/>
    <w:pPr>
      <w:ind w:left="720"/>
      <w:contextualSpacing/>
    </w:pPr>
    <w:rPr>
      <w:rFonts w:eastAsia="Times New Roman" w:cs="Times New Roman"/>
      <w:sz w:val="24"/>
      <w:szCs w:val="24"/>
      <w:lang w:eastAsia="ru-RU"/>
    </w:rPr>
  </w:style>
  <w:style w:type="character" w:styleId="af2">
    <w:name w:val="Emphasis"/>
    <w:basedOn w:val="a0"/>
    <w:uiPriority w:val="20"/>
    <w:qFormat/>
    <w:rsid w:val="007B5FC8"/>
    <w:rPr>
      <w:i/>
      <w:iCs/>
    </w:rPr>
  </w:style>
  <w:style w:type="paragraph" w:styleId="af3">
    <w:name w:val="Balloon Text"/>
    <w:basedOn w:val="a"/>
    <w:link w:val="af4"/>
    <w:uiPriority w:val="99"/>
    <w:semiHidden/>
    <w:unhideWhenUsed/>
    <w:rsid w:val="007B5FC8"/>
    <w:rPr>
      <w:rFonts w:ascii="Tahoma" w:hAnsi="Tahoma" w:cs="Tahoma"/>
      <w:sz w:val="16"/>
      <w:szCs w:val="16"/>
    </w:rPr>
  </w:style>
  <w:style w:type="character" w:customStyle="1" w:styleId="af4">
    <w:name w:val="Текст выноски Знак"/>
    <w:basedOn w:val="a0"/>
    <w:link w:val="af3"/>
    <w:uiPriority w:val="99"/>
    <w:semiHidden/>
    <w:rsid w:val="007B5FC8"/>
    <w:rPr>
      <w:rFonts w:ascii="Tahoma" w:hAnsi="Tahoma" w:cs="Tahoma"/>
      <w:sz w:val="16"/>
      <w:szCs w:val="16"/>
      <w:lang w:val="ru-RU"/>
    </w:rPr>
  </w:style>
  <w:style w:type="paragraph" w:customStyle="1" w:styleId="212">
    <w:name w:val="Знак Знак2 Знак Знак Знак Знак1 Знак Знак"/>
    <w:basedOn w:val="a"/>
    <w:rsid w:val="007B5FC8"/>
    <w:rPr>
      <w:rFonts w:ascii="Verdana" w:eastAsia="Times New Roman" w:hAnsi="Verdana" w:cs="Verdana"/>
      <w:sz w:val="20"/>
      <w:szCs w:val="20"/>
      <w:lang w:val="en-US"/>
    </w:rPr>
  </w:style>
  <w:style w:type="paragraph" w:styleId="af5">
    <w:name w:val="caption"/>
    <w:basedOn w:val="a"/>
    <w:next w:val="a"/>
    <w:uiPriority w:val="35"/>
    <w:unhideWhenUsed/>
    <w:qFormat/>
    <w:rsid w:val="007B5FC8"/>
    <w:pPr>
      <w:spacing w:after="200"/>
    </w:pPr>
    <w:rPr>
      <w:b/>
      <w:bCs/>
      <w:color w:val="4F81BD" w:themeColor="accent1"/>
      <w:sz w:val="18"/>
      <w:szCs w:val="18"/>
    </w:rPr>
  </w:style>
  <w:style w:type="table" w:styleId="af6">
    <w:name w:val="Table Grid"/>
    <w:basedOn w:val="a1"/>
    <w:uiPriority w:val="39"/>
    <w:rsid w:val="007B5FC8"/>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Абзац списка1"/>
    <w:basedOn w:val="a"/>
    <w:rsid w:val="007B5FC8"/>
    <w:pPr>
      <w:spacing w:after="200" w:line="276" w:lineRule="auto"/>
      <w:ind w:left="720"/>
    </w:pPr>
    <w:rPr>
      <w:rFonts w:ascii="Calibri" w:eastAsia="Calibri" w:hAnsi="Calibri"/>
      <w:sz w:val="22"/>
      <w:szCs w:val="22"/>
      <w:lang w:eastAsia="ru-RU"/>
    </w:rPr>
  </w:style>
  <w:style w:type="paragraph" w:styleId="af7">
    <w:name w:val="footer"/>
    <w:basedOn w:val="a"/>
    <w:link w:val="af8"/>
    <w:unhideWhenUsed/>
    <w:rsid w:val="007B5FC8"/>
    <w:pPr>
      <w:tabs>
        <w:tab w:val="center" w:pos="4677"/>
        <w:tab w:val="right" w:pos="9355"/>
      </w:tabs>
    </w:pPr>
  </w:style>
  <w:style w:type="character" w:customStyle="1" w:styleId="af8">
    <w:name w:val="Нижний колонтитул Знак"/>
    <w:basedOn w:val="a0"/>
    <w:link w:val="af7"/>
    <w:rsid w:val="007B5FC8"/>
    <w:rPr>
      <w:rFonts w:ascii="Times New Roman" w:hAnsi="Times New Roman" w:cs="Calibri"/>
      <w:sz w:val="28"/>
      <w:szCs w:val="28"/>
      <w:lang w:val="ru-RU"/>
    </w:rPr>
  </w:style>
  <w:style w:type="paragraph" w:styleId="23">
    <w:name w:val="Body Text Indent 2"/>
    <w:basedOn w:val="a"/>
    <w:link w:val="24"/>
    <w:uiPriority w:val="99"/>
    <w:semiHidden/>
    <w:unhideWhenUsed/>
    <w:rsid w:val="007B5FC8"/>
    <w:pPr>
      <w:spacing w:after="120" w:line="480" w:lineRule="auto"/>
      <w:ind w:left="283"/>
    </w:pPr>
  </w:style>
  <w:style w:type="character" w:customStyle="1" w:styleId="24">
    <w:name w:val="Основной текст с отступом 2 Знак"/>
    <w:basedOn w:val="a0"/>
    <w:link w:val="23"/>
    <w:uiPriority w:val="99"/>
    <w:semiHidden/>
    <w:rsid w:val="007B5FC8"/>
    <w:rPr>
      <w:rFonts w:ascii="Times New Roman" w:hAnsi="Times New Roman" w:cs="Calibri"/>
      <w:sz w:val="28"/>
      <w:szCs w:val="28"/>
      <w:lang w:val="ru-RU"/>
    </w:rPr>
  </w:style>
  <w:style w:type="paragraph" w:customStyle="1" w:styleId="14">
    <w:name w:val="Без интервала1"/>
    <w:link w:val="NoSpacing"/>
    <w:rsid w:val="007B5FC8"/>
    <w:pPr>
      <w:spacing w:after="0" w:line="240" w:lineRule="auto"/>
    </w:pPr>
    <w:rPr>
      <w:rFonts w:ascii="Calibri" w:eastAsia="Times New Roman" w:hAnsi="Calibri" w:cs="Times New Roman"/>
      <w:lang w:val="ru-RU" w:eastAsia="ru-RU"/>
    </w:rPr>
  </w:style>
  <w:style w:type="character" w:customStyle="1" w:styleId="NoSpacing">
    <w:name w:val="No Spacing Знак"/>
    <w:basedOn w:val="a0"/>
    <w:link w:val="14"/>
    <w:rsid w:val="007B5FC8"/>
    <w:rPr>
      <w:rFonts w:ascii="Calibri" w:eastAsia="Times New Roman" w:hAnsi="Calibri" w:cs="Times New Roman"/>
      <w:lang w:val="ru-RU" w:eastAsia="ru-RU"/>
    </w:rPr>
  </w:style>
  <w:style w:type="paragraph" w:customStyle="1" w:styleId="15">
    <w:name w:val="Абзац списку1"/>
    <w:basedOn w:val="a"/>
    <w:rsid w:val="007B5FC8"/>
    <w:pPr>
      <w:spacing w:after="200" w:line="276" w:lineRule="auto"/>
      <w:ind w:left="720"/>
    </w:pPr>
    <w:rPr>
      <w:rFonts w:ascii="Calibri" w:eastAsia="Calibri" w:hAnsi="Calibri"/>
      <w:sz w:val="22"/>
      <w:szCs w:val="22"/>
      <w:lang w:eastAsia="ru-RU"/>
    </w:rPr>
  </w:style>
  <w:style w:type="paragraph" w:customStyle="1" w:styleId="rvps27">
    <w:name w:val="rvps27"/>
    <w:basedOn w:val="a"/>
    <w:rsid w:val="007B5FC8"/>
    <w:pPr>
      <w:spacing w:before="100" w:beforeAutospacing="1" w:after="100" w:afterAutospacing="1"/>
    </w:pPr>
    <w:rPr>
      <w:rFonts w:ascii="Calibri" w:eastAsia="Times New Roman" w:hAnsi="Calibri"/>
      <w:sz w:val="24"/>
      <w:szCs w:val="24"/>
      <w:lang w:eastAsia="ru-RU"/>
    </w:rPr>
  </w:style>
  <w:style w:type="table" w:customStyle="1" w:styleId="25">
    <w:name w:val="Сетка таблицы2"/>
    <w:basedOn w:val="a1"/>
    <w:uiPriority w:val="39"/>
    <w:rsid w:val="007B5FC8"/>
    <w:pPr>
      <w:spacing w:after="0" w:line="240" w:lineRule="auto"/>
    </w:pPr>
    <w:rPr>
      <w:rFonts w:ascii="Times New Roman" w:hAnsi="Times New Roman" w:cs="Times New Roman"/>
      <w:sz w:val="28"/>
      <w:szCs w:val="28"/>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Таблица - текст"/>
    <w:basedOn w:val="a"/>
    <w:link w:val="-0"/>
    <w:rsid w:val="007B5FC8"/>
    <w:rPr>
      <w:rFonts w:ascii="Arial Narrow" w:eastAsia="Times New Roman" w:hAnsi="Arial Narrow" w:cs="Times New Roman"/>
      <w:color w:val="000000"/>
      <w:sz w:val="16"/>
      <w:szCs w:val="24"/>
      <w:lang w:val="x-none" w:eastAsia="x-none"/>
    </w:rPr>
  </w:style>
  <w:style w:type="character" w:customStyle="1" w:styleId="-0">
    <w:name w:val="Таблица - текст Знак"/>
    <w:link w:val="-"/>
    <w:rsid w:val="007B5FC8"/>
    <w:rPr>
      <w:rFonts w:ascii="Arial Narrow" w:eastAsia="Times New Roman" w:hAnsi="Arial Narrow" w:cs="Times New Roman"/>
      <w:color w:val="000000"/>
      <w:sz w:val="16"/>
      <w:szCs w:val="24"/>
      <w:lang w:val="x-none" w:eastAsia="x-none"/>
    </w:rPr>
  </w:style>
  <w:style w:type="paragraph" w:customStyle="1" w:styleId="-1">
    <w:name w:val="Таблица - цифры"/>
    <w:basedOn w:val="-"/>
    <w:rsid w:val="007B5FC8"/>
    <w:pPr>
      <w:keepLines/>
      <w:jc w:val="right"/>
    </w:pPr>
  </w:style>
  <w:style w:type="paragraph" w:customStyle="1" w:styleId="-2">
    <w:name w:val="Таблица - шапка"/>
    <w:basedOn w:val="-"/>
    <w:next w:val="-"/>
    <w:rsid w:val="007B5FC8"/>
    <w:pPr>
      <w:keepLines/>
      <w:jc w:val="center"/>
    </w:pPr>
    <w:rPr>
      <w:b/>
    </w:rPr>
  </w:style>
  <w:style w:type="character" w:customStyle="1" w:styleId="-3">
    <w:name w:val="Текст - выделение"/>
    <w:rsid w:val="007B5FC8"/>
    <w:rPr>
      <w:b/>
      <w:color w:val="073A78"/>
    </w:rPr>
  </w:style>
  <w:style w:type="character" w:customStyle="1" w:styleId="A40">
    <w:name w:val="A4"/>
    <w:uiPriority w:val="99"/>
    <w:rsid w:val="0048665C"/>
    <w:rPr>
      <w:rFonts w:cs="Gotham Pro Medium"/>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1536689">
      <w:bodyDiv w:val="1"/>
      <w:marLeft w:val="0"/>
      <w:marRight w:val="0"/>
      <w:marTop w:val="0"/>
      <w:marBottom w:val="0"/>
      <w:divBdr>
        <w:top w:val="none" w:sz="0" w:space="0" w:color="auto"/>
        <w:left w:val="none" w:sz="0" w:space="0" w:color="auto"/>
        <w:bottom w:val="none" w:sz="0" w:space="0" w:color="auto"/>
        <w:right w:val="none" w:sz="0" w:space="0" w:color="auto"/>
      </w:divBdr>
    </w:div>
    <w:div w:id="1120998225">
      <w:bodyDiv w:val="1"/>
      <w:marLeft w:val="0"/>
      <w:marRight w:val="0"/>
      <w:marTop w:val="0"/>
      <w:marBottom w:val="0"/>
      <w:divBdr>
        <w:top w:val="none" w:sz="0" w:space="0" w:color="auto"/>
        <w:left w:val="none" w:sz="0" w:space="0" w:color="auto"/>
        <w:bottom w:val="none" w:sz="0" w:space="0" w:color="auto"/>
        <w:right w:val="none" w:sz="0" w:space="0" w:color="auto"/>
      </w:divBdr>
    </w:div>
    <w:div w:id="1562331775">
      <w:bodyDiv w:val="1"/>
      <w:marLeft w:val="0"/>
      <w:marRight w:val="0"/>
      <w:marTop w:val="0"/>
      <w:marBottom w:val="0"/>
      <w:divBdr>
        <w:top w:val="none" w:sz="0" w:space="0" w:color="auto"/>
        <w:left w:val="none" w:sz="0" w:space="0" w:color="auto"/>
        <w:bottom w:val="none" w:sz="0" w:space="0" w:color="auto"/>
        <w:right w:val="none" w:sz="0" w:space="0" w:color="auto"/>
      </w:divBdr>
      <w:divsChild>
        <w:div w:id="842279394">
          <w:marLeft w:val="446"/>
          <w:marRight w:val="0"/>
          <w:marTop w:val="0"/>
          <w:marBottom w:val="0"/>
          <w:divBdr>
            <w:top w:val="none" w:sz="0" w:space="0" w:color="auto"/>
            <w:left w:val="none" w:sz="0" w:space="0" w:color="auto"/>
            <w:bottom w:val="none" w:sz="0" w:space="0" w:color="auto"/>
            <w:right w:val="none" w:sz="0" w:space="0" w:color="auto"/>
          </w:divBdr>
        </w:div>
      </w:divsChild>
    </w:div>
    <w:div w:id="1643384874">
      <w:bodyDiv w:val="1"/>
      <w:marLeft w:val="0"/>
      <w:marRight w:val="0"/>
      <w:marTop w:val="0"/>
      <w:marBottom w:val="0"/>
      <w:divBdr>
        <w:top w:val="none" w:sz="0" w:space="0" w:color="auto"/>
        <w:left w:val="none" w:sz="0" w:space="0" w:color="auto"/>
        <w:bottom w:val="none" w:sz="0" w:space="0" w:color="auto"/>
        <w:right w:val="none" w:sz="0" w:space="0" w:color="auto"/>
      </w:divBdr>
    </w:div>
    <w:div w:id="1761297123">
      <w:bodyDiv w:val="1"/>
      <w:marLeft w:val="0"/>
      <w:marRight w:val="0"/>
      <w:marTop w:val="0"/>
      <w:marBottom w:val="0"/>
      <w:divBdr>
        <w:top w:val="none" w:sz="0" w:space="0" w:color="auto"/>
        <w:left w:val="none" w:sz="0" w:space="0" w:color="auto"/>
        <w:bottom w:val="none" w:sz="0" w:space="0" w:color="auto"/>
        <w:right w:val="none" w:sz="0" w:space="0" w:color="auto"/>
      </w:divBdr>
    </w:div>
    <w:div w:id="1819762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3.xm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hart" Target="charts/chart2.xml"/><Relationship Id="rId17" Type="http://schemas.openxmlformats.org/officeDocument/2006/relationships/hyperlink" Target="http://mrada.if.ua/%D0%BD%D0%BE%D0%B2%D0%B8%D0%BD%D0%B8/3270-%D0%BC%D1%96%D1%81%D1%82%D0%BE-%D0%B4%D0%BB%D1%8F-%D0%B6%D0%B8%D1%82%D1%82%D1%8F-%D1%8F%D0%BA-%D0%B2%D0%B8%D0%B3%D0%BB%D1%8F%D0%B4%D0%B0%D1%82%D0%B8%D0%BC%D0%B5-%D0%B1%D1%80%D0%B5%D0%BD%D0%B4-%D1%96%D0%B2%D0%B0%D0%BD%D0%BE-%D1%84%D1%80%D0%B0%D0%BD%D0%BA%D1%96%D0%B2%D1%81%D1%8C%D0%BA%D0%B0" TargetMode="External"/><Relationship Id="rId2" Type="http://schemas.openxmlformats.org/officeDocument/2006/relationships/numbering" Target="numbering.xml"/><Relationship Id="rId16" Type="http://schemas.openxmlformats.org/officeDocument/2006/relationships/chart" Target="charts/chart6.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chart" Target="charts/chart5.xml"/><Relationship Id="rId10" Type="http://schemas.openxmlformats.org/officeDocument/2006/relationships/image" Target="media/image3.pn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chart" Target="charts/chart4.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User\Downloads\&#1055;&#1044;&#1060;&#1054;%20&#1087;&#1086;%20&#1075;&#1072;&#1083;&#1091;&#1079;&#1103;&#1093;.xlsx" TargetMode="Externa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_rels/chart4.xml.rels><?xml version="1.0" encoding="UTF-8" standalone="yes"?>
<Relationships xmlns="http://schemas.openxmlformats.org/package/2006/relationships"><Relationship Id="rId1" Type="http://schemas.openxmlformats.org/officeDocument/2006/relationships/oleObject" Target="file:///C:\Users\User\Downloads\&#1075;&#1088;&#1072;&#1092;&#1080;&#1082;&#1080;%20&#1086;&#1089;&#1085;&#1086;&#1074;&#1085;&#1080;&#1093;%20&#1087;&#1086;&#1082;&#1072;&#1079;&#1085;&#1080;&#1082;&#1080;&#1074;%20&#1086;&#1087;%20&#1086;&#1073;&#1083;%20&#1094;&#1077;&#1085;&#1090;&#1088;&#1072;&#1093;%20(1).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User\Downloads\&#1075;&#1088;&#1072;&#1092;&#1080;&#1082;&#1080;%20&#1086;&#1089;&#1085;&#1086;&#1074;&#1085;&#1080;&#1093;%20&#1087;&#1086;&#1082;&#1072;&#1079;&#1085;&#1080;&#1082;&#1080;&#1074;%20&#1086;&#1087;%20&#1086;&#1073;&#1083;%20&#1094;&#1077;&#1085;&#1090;&#1088;&#1072;&#1093;%20(1).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D:\Disc_C\Documents\&#1055;&#1057;&#1045;&#1056;\&#1079;&#1072;%202018\&#1075;&#1088;&#1072;&#1092;%202018.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sz="1200"/>
            </a:pPr>
            <a:r>
              <a:rPr lang="uk-UA" sz="1200"/>
              <a:t>Сплата ПДФО </a:t>
            </a:r>
            <a:r>
              <a:rPr lang="uk-UA" sz="1200" baseline="0"/>
              <a:t> за видами економічної діяльності  </a:t>
            </a:r>
          </a:p>
          <a:p>
            <a:pPr>
              <a:defRPr sz="1200"/>
            </a:pPr>
            <a:r>
              <a:rPr lang="uk-UA" sz="1200" baseline="0"/>
              <a:t>у 2019р.</a:t>
            </a:r>
            <a:endParaRPr lang="uk-UA" sz="1200"/>
          </a:p>
        </c:rich>
      </c:tx>
      <c:overlay val="0"/>
    </c:title>
    <c:autoTitleDeleted val="0"/>
    <c:plotArea>
      <c:layout>
        <c:manualLayout>
          <c:layoutTarget val="inner"/>
          <c:xMode val="edge"/>
          <c:yMode val="edge"/>
          <c:x val="0.27306332767948666"/>
          <c:y val="0.22611822240168697"/>
          <c:w val="0.33223097112860894"/>
          <c:h val="0.58187345225914555"/>
        </c:manualLayout>
      </c:layout>
      <c:doughnutChart>
        <c:varyColors val="1"/>
        <c:ser>
          <c:idx val="1"/>
          <c:order val="1"/>
          <c:explosion val="25"/>
          <c:dLbls>
            <c:dLbl>
              <c:idx val="0"/>
              <c:layout>
                <c:manualLayout>
                  <c:x val="0.11441914769410391"/>
                  <c:y val="-0.11396011396011396"/>
                </c:manualLayout>
              </c:layout>
              <c:showLegendKey val="0"/>
              <c:showVal val="1"/>
              <c:showCatName val="1"/>
              <c:showSerName val="0"/>
              <c:showPercent val="0"/>
              <c:showBubbleSize val="0"/>
              <c:extLst>
                <c:ext xmlns:c15="http://schemas.microsoft.com/office/drawing/2012/chart" uri="{CE6537A1-D6FC-4f65-9D91-7224C49458BB}"/>
              </c:extLst>
            </c:dLbl>
            <c:dLbl>
              <c:idx val="1"/>
              <c:layout>
                <c:manualLayout>
                  <c:x val="0.14711014888462917"/>
                  <c:y val="-2.735042735042735E-2"/>
                </c:manualLayout>
              </c:layout>
              <c:showLegendKey val="0"/>
              <c:showVal val="1"/>
              <c:showCatName val="1"/>
              <c:showSerName val="0"/>
              <c:showPercent val="0"/>
              <c:showBubbleSize val="0"/>
              <c:extLst>
                <c:ext xmlns:c15="http://schemas.microsoft.com/office/drawing/2012/chart" uri="{CE6537A1-D6FC-4f65-9D91-7224C49458BB}"/>
              </c:extLst>
            </c:dLbl>
            <c:dLbl>
              <c:idx val="2"/>
              <c:layout>
                <c:manualLayout>
                  <c:x val="0.13309982486865149"/>
                  <c:y val="7.5213675213675293E-2"/>
                </c:manualLayout>
              </c:layout>
              <c:showLegendKey val="0"/>
              <c:showVal val="1"/>
              <c:showCatName val="1"/>
              <c:showSerName val="0"/>
              <c:showPercent val="0"/>
              <c:showBubbleSize val="0"/>
              <c:extLst>
                <c:ext xmlns:c15="http://schemas.microsoft.com/office/drawing/2012/chart" uri="{CE6537A1-D6FC-4f65-9D91-7224C49458BB}"/>
              </c:extLst>
            </c:dLbl>
            <c:dLbl>
              <c:idx val="3"/>
              <c:layout>
                <c:manualLayout>
                  <c:x val="-3.5026269702276708E-2"/>
                  <c:y val="0.13447293447293449"/>
                </c:manualLayout>
              </c:layout>
              <c:showLegendKey val="0"/>
              <c:showVal val="1"/>
              <c:showCatName val="1"/>
              <c:showSerName val="0"/>
              <c:showPercent val="0"/>
              <c:showBubbleSize val="0"/>
              <c:extLst>
                <c:ext xmlns:c15="http://schemas.microsoft.com/office/drawing/2012/chart" uri="{CE6537A1-D6FC-4f65-9D91-7224C49458BB}"/>
              </c:extLst>
            </c:dLbl>
            <c:dLbl>
              <c:idx val="4"/>
              <c:layout>
                <c:manualLayout>
                  <c:x val="-0.15178050204319907"/>
                  <c:y val="0.1437722474471714"/>
                </c:manualLayout>
              </c:layout>
              <c:showLegendKey val="0"/>
              <c:showVal val="1"/>
              <c:showCatName val="1"/>
              <c:showSerName val="0"/>
              <c:showPercent val="0"/>
              <c:showBubbleSize val="0"/>
              <c:extLst>
                <c:ext xmlns:c15="http://schemas.microsoft.com/office/drawing/2012/chart" uri="{CE6537A1-D6FC-4f65-9D91-7224C49458BB}"/>
              </c:extLst>
            </c:dLbl>
            <c:dLbl>
              <c:idx val="5"/>
              <c:layout>
                <c:manualLayout>
                  <c:x val="-0.16112084063047286"/>
                  <c:y val="7.2934472934472847E-2"/>
                </c:manualLayout>
              </c:layout>
              <c:showLegendKey val="0"/>
              <c:showVal val="1"/>
              <c:showCatName val="1"/>
              <c:showSerName val="0"/>
              <c:showPercent val="0"/>
              <c:showBubbleSize val="0"/>
              <c:extLst>
                <c:ext xmlns:c15="http://schemas.microsoft.com/office/drawing/2012/chart" uri="{CE6537A1-D6FC-4f65-9D91-7224C49458BB}"/>
              </c:extLst>
            </c:dLbl>
            <c:dLbl>
              <c:idx val="6"/>
              <c:layout>
                <c:manualLayout>
                  <c:x val="-0.1447752481027437"/>
                  <c:y val="2.0389717397591413E-2"/>
                </c:manualLayout>
              </c:layout>
              <c:showLegendKey val="0"/>
              <c:showVal val="1"/>
              <c:showCatName val="1"/>
              <c:showSerName val="0"/>
              <c:showPercent val="0"/>
              <c:showBubbleSize val="0"/>
              <c:extLst>
                <c:ext xmlns:c15="http://schemas.microsoft.com/office/drawing/2012/chart" uri="{CE6537A1-D6FC-4f65-9D91-7224C49458BB}"/>
              </c:extLst>
            </c:dLbl>
            <c:dLbl>
              <c:idx val="7"/>
              <c:layout>
                <c:manualLayout>
                  <c:x val="-0.15878593984858722"/>
                  <c:y val="4.4905589332978897E-2"/>
                </c:manualLayout>
              </c:layout>
              <c:showLegendKey val="0"/>
              <c:showVal val="1"/>
              <c:showCatName val="1"/>
              <c:showSerName val="0"/>
              <c:showPercent val="0"/>
              <c:showBubbleSize val="0"/>
              <c:extLst>
                <c:ext xmlns:c15="http://schemas.microsoft.com/office/drawing/2012/chart" uri="{CE6537A1-D6FC-4f65-9D91-7224C49458BB}"/>
              </c:extLst>
            </c:dLbl>
            <c:dLbl>
              <c:idx val="8"/>
              <c:layout>
                <c:manualLayout>
                  <c:x val="-0.23350846468184472"/>
                  <c:y val="-1.6016501055871135E-3"/>
                </c:manualLayout>
              </c:layout>
              <c:showLegendKey val="0"/>
              <c:showVal val="1"/>
              <c:showCatName val="1"/>
              <c:showSerName val="0"/>
              <c:showPercent val="0"/>
              <c:showBubbleSize val="0"/>
              <c:extLst>
                <c:ext xmlns:c15="http://schemas.microsoft.com/office/drawing/2012/chart" uri="{CE6537A1-D6FC-4f65-9D91-7224C49458BB}"/>
              </c:extLst>
            </c:dLbl>
            <c:dLbl>
              <c:idx val="9"/>
              <c:layout>
                <c:manualLayout>
                  <c:x val="-0.16812609457092823"/>
                  <c:y val="-8.2051461516028448E-2"/>
                </c:manualLayout>
              </c:layout>
              <c:showLegendKey val="0"/>
              <c:showVal val="1"/>
              <c:showCatName val="1"/>
              <c:showSerName val="0"/>
              <c:showPercent val="0"/>
              <c:showBubbleSize val="0"/>
              <c:extLst>
                <c:ext xmlns:c15="http://schemas.microsoft.com/office/drawing/2012/chart" uri="{CE6537A1-D6FC-4f65-9D91-7224C49458BB}"/>
              </c:extLst>
            </c:dLbl>
            <c:dLbl>
              <c:idx val="10"/>
              <c:layout>
                <c:manualLayout>
                  <c:x val="-0.11208406304728546"/>
                  <c:y val="-0.15660246130560912"/>
                </c:manualLayout>
              </c:layout>
              <c:showLegendKey val="0"/>
              <c:showVal val="1"/>
              <c:showCatName val="1"/>
              <c:showSerName val="0"/>
              <c:showPercent val="0"/>
              <c:showBubbleSize val="0"/>
              <c:extLst>
                <c:ext xmlns:c15="http://schemas.microsoft.com/office/drawing/2012/chart" uri="{CE6537A1-D6FC-4f65-9D91-7224C49458BB}"/>
              </c:extLst>
            </c:dLbl>
            <c:dLbl>
              <c:idx val="11"/>
              <c:layout>
                <c:manualLayout>
                  <c:x val="1.4010507880910683E-2"/>
                  <c:y val="-0.12307692307692308"/>
                </c:manualLayout>
              </c:layout>
              <c:showLegendKey val="0"/>
              <c:showVal val="1"/>
              <c:showCatName val="1"/>
              <c:showSerName val="0"/>
              <c:showPercent val="0"/>
              <c:showBubbleSize val="0"/>
              <c:extLst>
                <c:ext xmlns:c15="http://schemas.microsoft.com/office/drawing/2012/chart" uri="{CE6537A1-D6FC-4f65-9D91-7224C49458BB}"/>
              </c:extLst>
            </c:dLbl>
            <c:spPr>
              <a:noFill/>
              <a:ln>
                <a:noFill/>
              </a:ln>
              <a:effectLst/>
            </c:spPr>
            <c:showLegendKey val="0"/>
            <c:showVal val="1"/>
            <c:showCatName val="1"/>
            <c:showSerName val="0"/>
            <c:showPercent val="0"/>
            <c:showBubbleSize val="0"/>
            <c:showLeaderLines val="1"/>
            <c:extLst>
              <c:ext xmlns:c15="http://schemas.microsoft.com/office/drawing/2012/chart" uri="{CE6537A1-D6FC-4f65-9D91-7224C49458BB}"/>
            </c:extLst>
          </c:dLbls>
          <c:cat>
            <c:strRef>
              <c:f>'2019'!$K$4:$K$15</c:f>
              <c:strCache>
                <c:ptCount val="12"/>
                <c:pt idx="0">
                  <c:v>Державне управління й оборона; обов'язкове соціальне страхування</c:v>
                </c:pt>
                <c:pt idx="1">
                  <c:v>Освіта</c:v>
                </c:pt>
                <c:pt idx="2">
                  <c:v>Переробна промисловість</c:v>
                </c:pt>
                <c:pt idx="3">
                  <c:v>Оптова та роздрібна торгівля; ремонт автотранспортних засобів і мотоциклів</c:v>
                </c:pt>
                <c:pt idx="4">
                  <c:v>Охорона здоров'я та надання соціальної допомоги</c:v>
                </c:pt>
                <c:pt idx="5">
                  <c:v>Транспорт, складське господарство, поштова та кур'єрська діяльність</c:v>
                </c:pt>
                <c:pt idx="6">
                  <c:v>інші</c:v>
                </c:pt>
                <c:pt idx="7">
                  <c:v>Будівництво</c:v>
                </c:pt>
                <c:pt idx="8">
                  <c:v>Постачання електроенергії, газу, пари та кондиційованого повітря</c:v>
                </c:pt>
                <c:pt idx="9">
                  <c:v>Фінансова та страхова діяльність</c:v>
                </c:pt>
                <c:pt idx="10">
                  <c:v>Професійна, наукова та технічна діяльність</c:v>
                </c:pt>
                <c:pt idx="11">
                  <c:v>Інформація та телекомунікації</c:v>
                </c:pt>
              </c:strCache>
            </c:strRef>
          </c:cat>
          <c:val>
            <c:numRef>
              <c:f>'2019'!$M$4:$M$15</c:f>
              <c:numCache>
                <c:formatCode>0.0%</c:formatCode>
                <c:ptCount val="12"/>
                <c:pt idx="0">
                  <c:v>0.19348336672878153</c:v>
                </c:pt>
                <c:pt idx="1">
                  <c:v>0.10662112984413</c:v>
                </c:pt>
                <c:pt idx="2">
                  <c:v>0.12106030106228222</c:v>
                </c:pt>
                <c:pt idx="3">
                  <c:v>0.12660464350873846</c:v>
                </c:pt>
                <c:pt idx="4">
                  <c:v>9.3568783914908471E-2</c:v>
                </c:pt>
                <c:pt idx="5">
                  <c:v>8.2851894073212751E-2</c:v>
                </c:pt>
                <c:pt idx="6">
                  <c:v>4.7330590055978623E-2</c:v>
                </c:pt>
                <c:pt idx="7">
                  <c:v>6.02133569203923E-2</c:v>
                </c:pt>
                <c:pt idx="8">
                  <c:v>2.5576020896334432E-2</c:v>
                </c:pt>
                <c:pt idx="9">
                  <c:v>2.9455665941913324E-2</c:v>
                </c:pt>
                <c:pt idx="10">
                  <c:v>1.7439693692976811E-2</c:v>
                </c:pt>
                <c:pt idx="11">
                  <c:v>9.5794553360351101E-2</c:v>
                </c:pt>
              </c:numCache>
            </c:numRef>
          </c:val>
        </c:ser>
        <c:ser>
          <c:idx val="0"/>
          <c:order val="0"/>
          <c:explosion val="25"/>
          <c:dLbls>
            <c:spPr>
              <a:noFill/>
              <a:ln>
                <a:noFill/>
              </a:ln>
              <a:effectLst/>
            </c:spPr>
            <c:showLegendKey val="0"/>
            <c:showVal val="1"/>
            <c:showCatName val="0"/>
            <c:showSerName val="0"/>
            <c:showPercent val="0"/>
            <c:showBubbleSize val="0"/>
            <c:showLeaderLines val="1"/>
            <c:extLst>
              <c:ext xmlns:c15="http://schemas.microsoft.com/office/drawing/2012/chart" uri="{CE6537A1-D6FC-4f65-9D91-7224C49458BB}"/>
            </c:extLst>
          </c:dLbls>
          <c:cat>
            <c:strRef>
              <c:f>'2019'!$K$4:$K$15</c:f>
              <c:strCache>
                <c:ptCount val="12"/>
                <c:pt idx="0">
                  <c:v>Державне управління й оборона; обов'язкове соціальне страхування</c:v>
                </c:pt>
                <c:pt idx="1">
                  <c:v>Освіта</c:v>
                </c:pt>
                <c:pt idx="2">
                  <c:v>Переробна промисловість</c:v>
                </c:pt>
                <c:pt idx="3">
                  <c:v>Оптова та роздрібна торгівля; ремонт автотранспортних засобів і мотоциклів</c:v>
                </c:pt>
                <c:pt idx="4">
                  <c:v>Охорона здоров'я та надання соціальної допомоги</c:v>
                </c:pt>
                <c:pt idx="5">
                  <c:v>Транспорт, складське господарство, поштова та кур'єрська діяльність</c:v>
                </c:pt>
                <c:pt idx="6">
                  <c:v>інші</c:v>
                </c:pt>
                <c:pt idx="7">
                  <c:v>Будівництво</c:v>
                </c:pt>
                <c:pt idx="8">
                  <c:v>Постачання електроенергії, газу, пари та кондиційованого повітря</c:v>
                </c:pt>
                <c:pt idx="9">
                  <c:v>Фінансова та страхова діяльність</c:v>
                </c:pt>
                <c:pt idx="10">
                  <c:v>Професійна, наукова та технічна діяльність</c:v>
                </c:pt>
                <c:pt idx="11">
                  <c:v>Інформація та телекомунікації</c:v>
                </c:pt>
              </c:strCache>
            </c:strRef>
          </c:cat>
          <c:val>
            <c:numRef>
              <c:f>'2019'!$L$4:$L$15</c:f>
            </c:numRef>
          </c:val>
        </c:ser>
        <c:dLbls>
          <c:showLegendKey val="0"/>
          <c:showVal val="1"/>
          <c:showCatName val="0"/>
          <c:showSerName val="0"/>
          <c:showPercent val="0"/>
          <c:showBubbleSize val="0"/>
          <c:showLeaderLines val="1"/>
        </c:dLbls>
        <c:firstSliceAng val="0"/>
        <c:holeSize val="50"/>
      </c:doughnutChart>
    </c:plotArea>
    <c:plotVisOnly val="1"/>
    <c:dispBlanksAs val="gap"/>
    <c:showDLblsOverMax val="0"/>
  </c:chart>
  <c:txPr>
    <a:bodyPr/>
    <a:lstStyle/>
    <a:p>
      <a:pPr>
        <a:defRPr sz="800">
          <a:latin typeface="Arial" pitchFamily="34" charset="0"/>
          <a:cs typeface="Arial" pitchFamily="34" charset="0"/>
        </a:defRPr>
      </a:pPr>
      <a:endParaRPr lang="uk-UA"/>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30"/>
      <c:rotY val="10"/>
      <c:rAngAx val="0"/>
      <c:perspective val="10"/>
    </c:view3D>
    <c:floor>
      <c:thickness val="0"/>
    </c:floor>
    <c:sideWall>
      <c:thickness val="0"/>
    </c:sideWall>
    <c:backWall>
      <c:thickness val="0"/>
    </c:backWall>
    <c:plotArea>
      <c:layout>
        <c:manualLayout>
          <c:layoutTarget val="inner"/>
          <c:xMode val="edge"/>
          <c:yMode val="edge"/>
          <c:x val="6.3609575118899614E-2"/>
          <c:y val="8.3936623520018738E-2"/>
          <c:w val="0.54918815663801335"/>
          <c:h val="0.81583474702326486"/>
        </c:manualLayout>
      </c:layout>
      <c:pie3DChart>
        <c:varyColors val="1"/>
        <c:ser>
          <c:idx val="0"/>
          <c:order val="0"/>
          <c:explosion val="33"/>
          <c:dPt>
            <c:idx val="0"/>
            <c:bubble3D val="0"/>
          </c:dPt>
          <c:dPt>
            <c:idx val="1"/>
            <c:bubble3D val="0"/>
          </c:dPt>
          <c:dPt>
            <c:idx val="2"/>
            <c:bubble3D val="0"/>
          </c:dPt>
          <c:dLbls>
            <c:dLbl>
              <c:idx val="0"/>
              <c:layout>
                <c:manualLayout>
                  <c:x val="-7.8922004376960037E-2"/>
                  <c:y val="-0.31195039961559173"/>
                </c:manualLayout>
              </c:layout>
              <c:spPr/>
              <c:txPr>
                <a:bodyPr/>
                <a:lstStyle/>
                <a:p>
                  <a:pPr>
                    <a:defRPr/>
                  </a:pPr>
                  <a:endParaRPr lang="uk-UA"/>
                </a:p>
              </c:txPr>
              <c:dLblPos val="bestFit"/>
              <c:showLegendKey val="0"/>
              <c:showVal val="1"/>
              <c:showCatName val="0"/>
              <c:showSerName val="0"/>
              <c:showPercent val="0"/>
              <c:showBubbleSize val="0"/>
              <c:extLst>
                <c:ext xmlns:c15="http://schemas.microsoft.com/office/drawing/2012/chart" uri="{CE6537A1-D6FC-4f65-9D91-7224C49458BB}"/>
              </c:extLst>
            </c:dLbl>
            <c:dLbl>
              <c:idx val="1"/>
              <c:layout>
                <c:manualLayout>
                  <c:x val="1.9651137357830271E-3"/>
                  <c:y val="-3.5261738116068825E-3"/>
                </c:manualLayout>
              </c:layout>
              <c:spPr/>
              <c:txPr>
                <a:bodyPr/>
                <a:lstStyle/>
                <a:p>
                  <a:pPr>
                    <a:defRPr/>
                  </a:pPr>
                  <a:endParaRPr lang="uk-UA"/>
                </a:p>
              </c:txPr>
              <c:dLblPos val="bestFit"/>
              <c:showLegendKey val="0"/>
              <c:showVal val="1"/>
              <c:showCatName val="0"/>
              <c:showSerName val="0"/>
              <c:showPercent val="0"/>
              <c:showBubbleSize val="0"/>
              <c:extLst>
                <c:ext xmlns:c15="http://schemas.microsoft.com/office/drawing/2012/chart" uri="{CE6537A1-D6FC-4f65-9D91-7224C49458BB}"/>
              </c:extLst>
            </c:dLbl>
            <c:dLbl>
              <c:idx val="2"/>
              <c:layout>
                <c:manualLayout>
                  <c:x val="2.4184433965811582E-2"/>
                  <c:y val="-3.0163673016014574E-2"/>
                </c:manualLayout>
              </c:layout>
              <c:spPr/>
              <c:txPr>
                <a:bodyPr/>
                <a:lstStyle/>
                <a:p>
                  <a:pPr>
                    <a:defRPr/>
                  </a:pPr>
                  <a:endParaRPr lang="uk-UA"/>
                </a:p>
              </c:txPr>
              <c:dLblPos val="bestFit"/>
              <c:showLegendKey val="0"/>
              <c:showVal val="1"/>
              <c:showCatName val="0"/>
              <c:showSerName val="0"/>
              <c:showPercent val="0"/>
              <c:showBubbleSize val="0"/>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1"/>
            <c:extLst>
              <c:ext xmlns:c15="http://schemas.microsoft.com/office/drawing/2012/chart" uri="{CE6537A1-D6FC-4f65-9D91-7224C49458BB}"/>
            </c:extLst>
          </c:dLbls>
          <c:cat>
            <c:strRef>
              <c:f>Структура!$B$32:$B$34</c:f>
              <c:strCache>
                <c:ptCount val="3"/>
                <c:pt idx="0">
                  <c:v>Добувна та переробна промисловість</c:v>
                </c:pt>
                <c:pt idx="1">
                  <c:v>Постачання електроенергії, газу, пари та кондиційованого повітря</c:v>
                </c:pt>
                <c:pt idx="2">
                  <c:v>Водопостачання; каналізація, поводження    з відходами</c:v>
                </c:pt>
              </c:strCache>
            </c:strRef>
          </c:cat>
          <c:val>
            <c:numRef>
              <c:f>Структура!$C$32:$C$34</c:f>
              <c:numCache>
                <c:formatCode>0.0%</c:formatCode>
                <c:ptCount val="3"/>
                <c:pt idx="0">
                  <c:v>0.4465552583264274</c:v>
                </c:pt>
                <c:pt idx="1">
                  <c:v>0.53438481867878429</c:v>
                </c:pt>
                <c:pt idx="2">
                  <c:v>1.9059922994788252E-2</c:v>
                </c:pt>
              </c:numCache>
            </c:numRef>
          </c:val>
        </c:ser>
        <c:dLbls>
          <c:showLegendKey val="0"/>
          <c:showVal val="0"/>
          <c:showCatName val="0"/>
          <c:showSerName val="0"/>
          <c:showPercent val="0"/>
          <c:showBubbleSize val="0"/>
          <c:showLeaderLines val="1"/>
        </c:dLbls>
      </c:pie3DChart>
      <c:spPr>
        <a:noFill/>
        <a:ln w="25397">
          <a:noFill/>
        </a:ln>
      </c:spPr>
    </c:plotArea>
    <c:legend>
      <c:legendPos val="r"/>
      <c:layout>
        <c:manualLayout>
          <c:xMode val="edge"/>
          <c:yMode val="edge"/>
          <c:x val="0.60553962052453369"/>
          <c:y val="0.26228762783962351"/>
          <c:w val="0.38299901825248939"/>
          <c:h val="0.42893800343922522"/>
        </c:manualLayout>
      </c:layout>
      <c:overlay val="0"/>
    </c:legend>
    <c:plotVisOnly val="1"/>
    <c:dispBlanksAs val="gap"/>
    <c:showDLblsOverMax val="0"/>
  </c:chart>
  <c:spPr>
    <a:ln>
      <a:noFill/>
    </a:ln>
  </c:sp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40"/>
      <c:rotY val="30"/>
      <c:rAngAx val="0"/>
      <c:perspective val="50"/>
    </c:view3D>
    <c:floor>
      <c:thickness val="0"/>
    </c:floor>
    <c:sideWall>
      <c:thickness val="0"/>
    </c:sideWall>
    <c:backWall>
      <c:thickness val="0"/>
    </c:backWall>
    <c:plotArea>
      <c:layout>
        <c:manualLayout>
          <c:layoutTarget val="inner"/>
          <c:xMode val="edge"/>
          <c:yMode val="edge"/>
          <c:x val="1.1482289828155072E-2"/>
          <c:y val="2.5462871828521434E-2"/>
          <c:w val="0.53888888888888886"/>
          <c:h val="0.89814814814814814"/>
        </c:manualLayout>
      </c:layout>
      <c:pie3DChart>
        <c:varyColors val="1"/>
        <c:ser>
          <c:idx val="0"/>
          <c:order val="0"/>
          <c:explosion val="25"/>
          <c:dPt>
            <c:idx val="0"/>
            <c:bubble3D val="0"/>
          </c:dPt>
          <c:dPt>
            <c:idx val="1"/>
            <c:bubble3D val="0"/>
          </c:dPt>
          <c:dPt>
            <c:idx val="2"/>
            <c:bubble3D val="0"/>
          </c:dPt>
          <c:dPt>
            <c:idx val="3"/>
            <c:bubble3D val="0"/>
          </c:dPt>
          <c:dPt>
            <c:idx val="4"/>
            <c:bubble3D val="0"/>
          </c:dPt>
          <c:dPt>
            <c:idx val="5"/>
            <c:bubble3D val="0"/>
          </c:dPt>
          <c:dPt>
            <c:idx val="6"/>
            <c:bubble3D val="0"/>
          </c:dPt>
          <c:dPt>
            <c:idx val="7"/>
            <c:bubble3D val="0"/>
          </c:dPt>
          <c:dLbls>
            <c:dLbl>
              <c:idx val="0"/>
              <c:layout>
                <c:manualLayout>
                  <c:x val="-1.6855980619270769E-3"/>
                  <c:y val="-4.2749708369787108E-2"/>
                </c:manualLayout>
              </c:layout>
              <c:tx>
                <c:rich>
                  <a:bodyPr/>
                  <a:lstStyle/>
                  <a:p>
                    <a:pPr>
                      <a:defRPr/>
                    </a:pPr>
                    <a:r>
                      <a:rPr lang="en-US"/>
                      <a:t>24,9%</a:t>
                    </a:r>
                  </a:p>
                </c:rich>
              </c:tx>
              <c:spPr/>
              <c:dLblPos val="bestFit"/>
              <c:showLegendKey val="0"/>
              <c:showVal val="0"/>
              <c:showCatName val="0"/>
              <c:showSerName val="0"/>
              <c:showPercent val="0"/>
              <c:showBubbleSize val="0"/>
              <c:extLst>
                <c:ext xmlns:c15="http://schemas.microsoft.com/office/drawing/2012/chart" uri="{CE6537A1-D6FC-4f65-9D91-7224C49458BB}"/>
              </c:extLst>
            </c:dLbl>
            <c:dLbl>
              <c:idx val="1"/>
              <c:layout>
                <c:manualLayout>
                  <c:x val="8.311536763878075E-3"/>
                  <c:y val="-5.2071030183726968E-2"/>
                </c:manualLayout>
              </c:layout>
              <c:tx>
                <c:rich>
                  <a:bodyPr/>
                  <a:lstStyle/>
                  <a:p>
                    <a:pPr>
                      <a:defRPr/>
                    </a:pPr>
                    <a:r>
                      <a:rPr lang="en-US"/>
                      <a:t>0,9%</a:t>
                    </a:r>
                  </a:p>
                </c:rich>
              </c:tx>
              <c:spPr/>
              <c:dLblPos val="bestFit"/>
              <c:showLegendKey val="0"/>
              <c:showVal val="0"/>
              <c:showCatName val="0"/>
              <c:showSerName val="0"/>
              <c:showPercent val="0"/>
              <c:showBubbleSize val="0"/>
              <c:extLst>
                <c:ext xmlns:c15="http://schemas.microsoft.com/office/drawing/2012/chart" uri="{CE6537A1-D6FC-4f65-9D91-7224C49458BB}"/>
              </c:extLst>
            </c:dLbl>
            <c:dLbl>
              <c:idx val="2"/>
              <c:layout>
                <c:manualLayout>
                  <c:x val="1.0626609426720937E-2"/>
                  <c:y val="1.5120024059492563E-2"/>
                </c:manualLayout>
              </c:layout>
              <c:tx>
                <c:rich>
                  <a:bodyPr/>
                  <a:lstStyle/>
                  <a:p>
                    <a:pPr>
                      <a:defRPr/>
                    </a:pPr>
                    <a:r>
                      <a:rPr lang="en-US"/>
                      <a:t>4,9%</a:t>
                    </a:r>
                  </a:p>
                </c:rich>
              </c:tx>
              <c:spPr/>
              <c:dLblPos val="bestFit"/>
              <c:showLegendKey val="0"/>
              <c:showVal val="0"/>
              <c:showCatName val="0"/>
              <c:showSerName val="0"/>
              <c:showPercent val="0"/>
              <c:showBubbleSize val="0"/>
              <c:extLst>
                <c:ext xmlns:c15="http://schemas.microsoft.com/office/drawing/2012/chart" uri="{CE6537A1-D6FC-4f65-9D91-7224C49458BB}"/>
              </c:extLst>
            </c:dLbl>
            <c:dLbl>
              <c:idx val="3"/>
              <c:layout>
                <c:manualLayout>
                  <c:x val="1.3757005827442651E-3"/>
                  <c:y val="3.6648622047244096E-2"/>
                </c:manualLayout>
              </c:layout>
              <c:tx>
                <c:rich>
                  <a:bodyPr/>
                  <a:lstStyle/>
                  <a:p>
                    <a:pPr>
                      <a:defRPr/>
                    </a:pPr>
                    <a:r>
                      <a:rPr lang="en-US"/>
                      <a:t>0,4%</a:t>
                    </a:r>
                  </a:p>
                </c:rich>
              </c:tx>
              <c:spPr/>
              <c:dLblPos val="bestFit"/>
              <c:showLegendKey val="0"/>
              <c:showVal val="0"/>
              <c:showCatName val="0"/>
              <c:showSerName val="0"/>
              <c:showPercent val="0"/>
              <c:showBubbleSize val="0"/>
              <c:extLst>
                <c:ext xmlns:c15="http://schemas.microsoft.com/office/drawing/2012/chart" uri="{CE6537A1-D6FC-4f65-9D91-7224C49458BB}"/>
              </c:extLst>
            </c:dLbl>
            <c:dLbl>
              <c:idx val="4"/>
              <c:layout>
                <c:manualLayout>
                  <c:x val="-2.8227475769620935E-2"/>
                  <c:y val="7.449475065616798E-2"/>
                </c:manualLayout>
              </c:layout>
              <c:tx>
                <c:rich>
                  <a:bodyPr/>
                  <a:lstStyle/>
                  <a:p>
                    <a:pPr>
                      <a:defRPr/>
                    </a:pPr>
                    <a:r>
                      <a:rPr lang="en-US"/>
                      <a:t>8,6%</a:t>
                    </a:r>
                  </a:p>
                </c:rich>
              </c:tx>
              <c:spPr/>
              <c:dLblPos val="bestFit"/>
              <c:showLegendKey val="0"/>
              <c:showVal val="0"/>
              <c:showCatName val="0"/>
              <c:showSerName val="0"/>
              <c:showPercent val="0"/>
              <c:showBubbleSize val="0"/>
              <c:extLst>
                <c:ext xmlns:c15="http://schemas.microsoft.com/office/drawing/2012/chart" uri="{CE6537A1-D6FC-4f65-9D91-7224C49458BB}"/>
              </c:extLst>
            </c:dLbl>
            <c:dLbl>
              <c:idx val="5"/>
              <c:layout>
                <c:manualLayout>
                  <c:x val="-7.9434869706054567E-2"/>
                  <c:y val="-8.386191309419656E-3"/>
                </c:manualLayout>
              </c:layout>
              <c:tx>
                <c:rich>
                  <a:bodyPr/>
                  <a:lstStyle/>
                  <a:p>
                    <a:pPr>
                      <a:defRPr/>
                    </a:pPr>
                    <a:r>
                      <a:rPr lang="en-US"/>
                      <a:t>3,3%</a:t>
                    </a:r>
                  </a:p>
                </c:rich>
              </c:tx>
              <c:spPr/>
              <c:dLblPos val="bestFit"/>
              <c:showLegendKey val="0"/>
              <c:showVal val="0"/>
              <c:showCatName val="0"/>
              <c:showSerName val="0"/>
              <c:showPercent val="0"/>
              <c:showBubbleSize val="0"/>
              <c:extLst>
                <c:ext xmlns:c15="http://schemas.microsoft.com/office/drawing/2012/chart" uri="{CE6537A1-D6FC-4f65-9D91-7224C49458BB}"/>
              </c:extLst>
            </c:dLbl>
            <c:dLbl>
              <c:idx val="6"/>
              <c:layout>
                <c:manualLayout>
                  <c:x val="1.7461330572599996E-2"/>
                  <c:y val="-0.10837625765529309"/>
                </c:manualLayout>
              </c:layout>
              <c:tx>
                <c:rich>
                  <a:bodyPr/>
                  <a:lstStyle/>
                  <a:p>
                    <a:pPr>
                      <a:defRPr/>
                    </a:pPr>
                    <a:r>
                      <a:rPr lang="en-US"/>
                      <a:t>51,8%</a:t>
                    </a:r>
                  </a:p>
                </c:rich>
              </c:tx>
              <c:spPr/>
              <c:dLblPos val="bestFit"/>
              <c:showLegendKey val="0"/>
              <c:showVal val="0"/>
              <c:showCatName val="0"/>
              <c:showSerName val="0"/>
              <c:showPercent val="0"/>
              <c:showBubbleSize val="0"/>
              <c:extLst>
                <c:ext xmlns:c15="http://schemas.microsoft.com/office/drawing/2012/chart" uri="{CE6537A1-D6FC-4f65-9D91-7224C49458BB}"/>
              </c:extLst>
            </c:dLbl>
            <c:dLbl>
              <c:idx val="7"/>
              <c:layout>
                <c:manualLayout>
                  <c:x val="-6.3496221365383534E-2"/>
                  <c:y val="-3.7037128171478556E-2"/>
                </c:manualLayout>
              </c:layout>
              <c:tx>
                <c:rich>
                  <a:bodyPr/>
                  <a:lstStyle/>
                  <a:p>
                    <a:pPr>
                      <a:defRPr/>
                    </a:pPr>
                    <a:r>
                      <a:rPr lang="en-US"/>
                      <a:t>5,2%</a:t>
                    </a:r>
                  </a:p>
                </c:rich>
              </c:tx>
              <c:spPr/>
              <c:dLblPos val="bestFit"/>
              <c:showLegendKey val="0"/>
              <c:showVal val="0"/>
              <c:showCatName val="0"/>
              <c:showSerName val="0"/>
              <c:showPercent val="0"/>
              <c:showBubbleSize val="0"/>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1"/>
            <c:extLst>
              <c:ext xmlns:c15="http://schemas.microsoft.com/office/drawing/2012/chart" uri="{CE6537A1-D6FC-4f65-9D91-7224C49458BB}"/>
            </c:extLst>
          </c:dLbls>
          <c:cat>
            <c:strRef>
              <c:f>Структура!$B$2:$B$9</c:f>
              <c:strCache>
                <c:ptCount val="8"/>
                <c:pt idx="0">
                  <c:v>Виробництво харчових продуктiв, напоїв та тютюнових виробiв</c:v>
                </c:pt>
                <c:pt idx="1">
                  <c:v>Текстильне виробництво, виробництво одягу, шкіри, виробів зі шкіри та інших матеріалів</c:v>
                </c:pt>
                <c:pt idx="2">
                  <c:v>Виготовлення виробів з деревини, виробництво паперу та поліграфічна діяльність</c:v>
                </c:pt>
                <c:pt idx="3">
                  <c:v> Виробництво хімічних речовин і хімічної продукції</c:v>
                </c:pt>
                <c:pt idx="4">
                  <c:v>Виробництво гумових і пластмасових виробів, іншої неметалевої мінеральної продукції</c:v>
                </c:pt>
                <c:pt idx="5">
                  <c:v>Металургійне виробництво, виробництво готових металевих виробів, крім машин і устатковання</c:v>
                </c:pt>
                <c:pt idx="6">
                  <c:v>Машинобудування та виробництво металевих виробів</c:v>
                </c:pt>
                <c:pt idx="7">
                  <c:v>Вироб-во меблів, іншої продукції, ремонт машин</c:v>
                </c:pt>
              </c:strCache>
            </c:strRef>
          </c:cat>
          <c:val>
            <c:numRef>
              <c:f>Структура!$C$2:$C$9</c:f>
              <c:numCache>
                <c:formatCode>0.0%</c:formatCode>
                <c:ptCount val="8"/>
                <c:pt idx="0">
                  <c:v>0.24946816171866498</c:v>
                </c:pt>
                <c:pt idx="1">
                  <c:v>9.2009181443141932E-3</c:v>
                </c:pt>
                <c:pt idx="2">
                  <c:v>4.8835123046631991E-2</c:v>
                </c:pt>
                <c:pt idx="3">
                  <c:v>3.5211986926913484E-3</c:v>
                </c:pt>
                <c:pt idx="4">
                  <c:v>8.6318742156709843E-2</c:v>
                </c:pt>
                <c:pt idx="5">
                  <c:v>3.2825030684573424E-2</c:v>
                </c:pt>
                <c:pt idx="6">
                  <c:v>0.51801972758610826</c:v>
                </c:pt>
                <c:pt idx="7">
                  <c:v>5.18110979703061E-2</c:v>
                </c:pt>
              </c:numCache>
            </c:numRef>
          </c:val>
        </c:ser>
        <c:dLbls>
          <c:showLegendKey val="0"/>
          <c:showVal val="0"/>
          <c:showCatName val="0"/>
          <c:showSerName val="0"/>
          <c:showPercent val="0"/>
          <c:showBubbleSize val="0"/>
          <c:showLeaderLines val="1"/>
        </c:dLbls>
      </c:pie3DChart>
      <c:spPr>
        <a:noFill/>
        <a:ln w="25519">
          <a:noFill/>
        </a:ln>
      </c:spPr>
    </c:plotArea>
    <c:legend>
      <c:legendPos val="r"/>
      <c:layout>
        <c:manualLayout>
          <c:xMode val="edge"/>
          <c:yMode val="edge"/>
          <c:x val="0.60080751738093807"/>
          <c:y val="2.8946850393700787E-2"/>
          <c:w val="0.39373909559015041"/>
          <c:h val="0.94442108088761623"/>
        </c:manualLayout>
      </c:layout>
      <c:overlay val="0"/>
    </c:legend>
    <c:plotVisOnly val="1"/>
    <c:dispBlanksAs val="gap"/>
    <c:showDLblsOverMax val="0"/>
  </c:chart>
  <c:spPr>
    <a:ln>
      <a:noFill/>
    </a:ln>
    <a:scene3d>
      <a:camera prst="orthographicFront"/>
      <a:lightRig rig="threePt" dir="t"/>
    </a:scene3d>
    <a:sp3d prstMaterial="dkEdge">
      <a:bevelT w="0"/>
    </a:sp3d>
  </c:sp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39"/>
    </mc:Choice>
    <mc:Fallback>
      <c:style val="39"/>
    </mc:Fallback>
  </mc:AlternateContent>
  <c:chart>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1800" b="1" i="0" u="none" strike="noStrike" kern="1200" baseline="0">
                <a:solidFill>
                  <a:sysClr val="windowText" lastClr="000000"/>
                </a:solidFill>
                <a:latin typeface="+mn-lt"/>
                <a:ea typeface="+mn-ea"/>
                <a:cs typeface="+mn-cs"/>
              </a:defRPr>
            </a:pPr>
            <a:r>
              <a:rPr lang="uk-UA" sz="1200" b="1" i="1" u="none" strike="noStrike" baseline="0">
                <a:effectLst/>
              </a:rPr>
              <a:t>Прямі іноземні інвестиції (акціонерний капітал) </a:t>
            </a:r>
            <a:r>
              <a:rPr lang="uk-UA" sz="1200" b="1" i="1">
                <a:effectLst/>
              </a:rPr>
              <a:t>за січень-вересень</a:t>
            </a:r>
            <a:r>
              <a:rPr lang="uk-UA" sz="1200" b="1" i="1" baseline="0">
                <a:effectLst/>
              </a:rPr>
              <a:t> 2019р.</a:t>
            </a:r>
            <a:endParaRPr lang="uk-UA" sz="1200">
              <a:effectLst/>
            </a:endParaRPr>
          </a:p>
        </c:rich>
      </c:tx>
      <c:layout>
        <c:manualLayout>
          <c:xMode val="edge"/>
          <c:yMode val="edge"/>
          <c:x val="0.1122985564304462"/>
          <c:y val="0"/>
        </c:manualLayout>
      </c:layout>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0.24728018372703411"/>
          <c:y val="0.13149314668999709"/>
          <c:w val="0.6731157042869641"/>
          <c:h val="0.77567512394284044"/>
        </c:manualLayout>
      </c:layout>
      <c:bar3DChart>
        <c:barDir val="bar"/>
        <c:grouping val="clustered"/>
        <c:varyColors val="0"/>
        <c:ser>
          <c:idx val="0"/>
          <c:order val="0"/>
          <c:spPr>
            <a:solidFill>
              <a:srgbClr val="00B050"/>
            </a:solidFill>
          </c:spPr>
          <c:invertIfNegative val="0"/>
          <c:cat>
            <c:strRef>
              <c:f>'9 мис 2019'!$A$81:$A$87</c:f>
              <c:strCache>
                <c:ptCount val="7"/>
                <c:pt idx="0">
                  <c:v>Івано-Франківськ</c:v>
                </c:pt>
                <c:pt idx="1">
                  <c:v>Вінниця</c:v>
                </c:pt>
                <c:pt idx="2">
                  <c:v>Житомир</c:v>
                </c:pt>
                <c:pt idx="3">
                  <c:v>Луцьк</c:v>
                </c:pt>
                <c:pt idx="4">
                  <c:v>Рівне</c:v>
                </c:pt>
                <c:pt idx="5">
                  <c:v>Хмельницький</c:v>
                </c:pt>
                <c:pt idx="6">
                  <c:v>Чернівці</c:v>
                </c:pt>
              </c:strCache>
            </c:strRef>
          </c:cat>
          <c:val>
            <c:numRef>
              <c:f>'9 мис 2019'!$B$81:$B$87</c:f>
              <c:numCache>
                <c:formatCode>General</c:formatCode>
                <c:ptCount val="7"/>
                <c:pt idx="0">
                  <c:v>476.6</c:v>
                </c:pt>
                <c:pt idx="1">
                  <c:v>143.19999999999999</c:v>
                </c:pt>
                <c:pt idx="2">
                  <c:v>101.3</c:v>
                </c:pt>
                <c:pt idx="3">
                  <c:v>98.7</c:v>
                </c:pt>
                <c:pt idx="4">
                  <c:v>72.7</c:v>
                </c:pt>
                <c:pt idx="5">
                  <c:v>27.4</c:v>
                </c:pt>
                <c:pt idx="6">
                  <c:v>26.8</c:v>
                </c:pt>
              </c:numCache>
            </c:numRef>
          </c:val>
        </c:ser>
        <c:dLbls>
          <c:showLegendKey val="0"/>
          <c:showVal val="0"/>
          <c:showCatName val="0"/>
          <c:showSerName val="0"/>
          <c:showPercent val="0"/>
          <c:showBubbleSize val="0"/>
        </c:dLbls>
        <c:gapWidth val="150"/>
        <c:shape val="cylinder"/>
        <c:axId val="400673480"/>
        <c:axId val="400674656"/>
        <c:axId val="0"/>
      </c:bar3DChart>
      <c:catAx>
        <c:axId val="400673480"/>
        <c:scaling>
          <c:orientation val="minMax"/>
        </c:scaling>
        <c:delete val="0"/>
        <c:axPos val="l"/>
        <c:numFmt formatCode="General" sourceLinked="0"/>
        <c:majorTickMark val="out"/>
        <c:minorTickMark val="none"/>
        <c:tickLblPos val="nextTo"/>
        <c:txPr>
          <a:bodyPr/>
          <a:lstStyle/>
          <a:p>
            <a:pPr>
              <a:defRPr b="1">
                <a:solidFill>
                  <a:srgbClr val="FF0000"/>
                </a:solidFill>
              </a:defRPr>
            </a:pPr>
            <a:endParaRPr lang="uk-UA"/>
          </a:p>
        </c:txPr>
        <c:crossAx val="400674656"/>
        <c:crosses val="autoZero"/>
        <c:auto val="1"/>
        <c:lblAlgn val="ctr"/>
        <c:lblOffset val="100"/>
        <c:noMultiLvlLbl val="0"/>
      </c:catAx>
      <c:valAx>
        <c:axId val="400674656"/>
        <c:scaling>
          <c:orientation val="minMax"/>
        </c:scaling>
        <c:delete val="0"/>
        <c:axPos val="b"/>
        <c:majorGridlines/>
        <c:numFmt formatCode="General" sourceLinked="1"/>
        <c:majorTickMark val="out"/>
        <c:minorTickMark val="none"/>
        <c:tickLblPos val="nextTo"/>
        <c:txPr>
          <a:bodyPr/>
          <a:lstStyle/>
          <a:p>
            <a:pPr>
              <a:defRPr>
                <a:solidFill>
                  <a:schemeClr val="accent2">
                    <a:lumMod val="75000"/>
                  </a:schemeClr>
                </a:solidFill>
              </a:defRPr>
            </a:pPr>
            <a:endParaRPr lang="uk-UA"/>
          </a:p>
        </c:txPr>
        <c:crossAx val="400673480"/>
        <c:crosses val="autoZero"/>
        <c:crossBetween val="between"/>
      </c:valAx>
    </c:plotArea>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39"/>
    </mc:Choice>
    <mc:Fallback>
      <c:style val="39"/>
    </mc:Fallback>
  </mc:AlternateContent>
  <c:chart>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1800" b="1" i="0" u="none" strike="noStrike" kern="1200" baseline="0">
                <a:solidFill>
                  <a:sysClr val="windowText" lastClr="000000"/>
                </a:solidFill>
                <a:latin typeface="+mn-lt"/>
                <a:ea typeface="+mn-ea"/>
                <a:cs typeface="+mn-cs"/>
              </a:defRPr>
            </a:pPr>
            <a:r>
              <a:rPr lang="uk-UA" sz="1200" b="1" i="1">
                <a:effectLst/>
              </a:rPr>
              <a:t>Обсяги прямих інвестицій на одну особу станом на 01.10.2019р.</a:t>
            </a:r>
            <a:endParaRPr lang="uk-UA" sz="1200">
              <a:effectLst/>
            </a:endParaRPr>
          </a:p>
        </c:rich>
      </c:tx>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0.11116907261592301"/>
          <c:y val="0.2287153689122193"/>
          <c:w val="0.87673512685914257"/>
          <c:h val="0.42946376494604843"/>
        </c:manualLayout>
      </c:layout>
      <c:bar3DChart>
        <c:barDir val="col"/>
        <c:grouping val="clustered"/>
        <c:varyColors val="0"/>
        <c:ser>
          <c:idx val="0"/>
          <c:order val="0"/>
          <c:spPr>
            <a:solidFill>
              <a:schemeClr val="accent2"/>
            </a:solidFill>
          </c:spPr>
          <c:invertIfNegative val="0"/>
          <c:cat>
            <c:strRef>
              <c:f>'9 мис 2019'!$A$99:$A$105</c:f>
              <c:strCache>
                <c:ptCount val="7"/>
                <c:pt idx="0">
                  <c:v>Івано-Франківськ</c:v>
                </c:pt>
                <c:pt idx="1">
                  <c:v>Луцьк</c:v>
                </c:pt>
                <c:pt idx="2">
                  <c:v>Вінниця</c:v>
                </c:pt>
                <c:pt idx="3">
                  <c:v>Житомир</c:v>
                </c:pt>
                <c:pt idx="4">
                  <c:v>Рівне</c:v>
                </c:pt>
                <c:pt idx="5">
                  <c:v>Хмельницький</c:v>
                </c:pt>
                <c:pt idx="6">
                  <c:v>Чернівці</c:v>
                </c:pt>
              </c:strCache>
            </c:strRef>
          </c:cat>
          <c:val>
            <c:numRef>
              <c:f>'9 мис 2019'!$B$99:$B$105</c:f>
              <c:numCache>
                <c:formatCode>General</c:formatCode>
                <c:ptCount val="7"/>
                <c:pt idx="0" formatCode="#,##0.0">
                  <c:v>1859.9</c:v>
                </c:pt>
                <c:pt idx="1">
                  <c:v>461.8</c:v>
                </c:pt>
                <c:pt idx="2">
                  <c:v>388.1</c:v>
                </c:pt>
                <c:pt idx="3">
                  <c:v>382.7</c:v>
                </c:pt>
                <c:pt idx="4" formatCode="0.0">
                  <c:v>299</c:v>
                </c:pt>
                <c:pt idx="5">
                  <c:v>102.6</c:v>
                </c:pt>
                <c:pt idx="6">
                  <c:v>102.1</c:v>
                </c:pt>
              </c:numCache>
            </c:numRef>
          </c:val>
        </c:ser>
        <c:dLbls>
          <c:showLegendKey val="0"/>
          <c:showVal val="0"/>
          <c:showCatName val="0"/>
          <c:showSerName val="0"/>
          <c:showPercent val="0"/>
          <c:showBubbleSize val="0"/>
        </c:dLbls>
        <c:gapWidth val="150"/>
        <c:shape val="cylinder"/>
        <c:axId val="400677400"/>
        <c:axId val="400675048"/>
        <c:axId val="0"/>
      </c:bar3DChart>
      <c:catAx>
        <c:axId val="400677400"/>
        <c:scaling>
          <c:orientation val="minMax"/>
        </c:scaling>
        <c:delete val="0"/>
        <c:axPos val="b"/>
        <c:numFmt formatCode="General" sourceLinked="0"/>
        <c:majorTickMark val="out"/>
        <c:minorTickMark val="none"/>
        <c:tickLblPos val="nextTo"/>
        <c:txPr>
          <a:bodyPr/>
          <a:lstStyle/>
          <a:p>
            <a:pPr>
              <a:defRPr b="1">
                <a:solidFill>
                  <a:srgbClr val="FF0000"/>
                </a:solidFill>
              </a:defRPr>
            </a:pPr>
            <a:endParaRPr lang="uk-UA"/>
          </a:p>
        </c:txPr>
        <c:crossAx val="400675048"/>
        <c:crosses val="autoZero"/>
        <c:auto val="1"/>
        <c:lblAlgn val="ctr"/>
        <c:lblOffset val="100"/>
        <c:noMultiLvlLbl val="0"/>
      </c:catAx>
      <c:valAx>
        <c:axId val="400675048"/>
        <c:scaling>
          <c:orientation val="minMax"/>
        </c:scaling>
        <c:delete val="0"/>
        <c:axPos val="l"/>
        <c:majorGridlines/>
        <c:numFmt formatCode="#,##0" sourceLinked="0"/>
        <c:majorTickMark val="out"/>
        <c:minorTickMark val="none"/>
        <c:tickLblPos val="nextTo"/>
        <c:txPr>
          <a:bodyPr/>
          <a:lstStyle/>
          <a:p>
            <a:pPr>
              <a:defRPr>
                <a:solidFill>
                  <a:schemeClr val="accent2">
                    <a:lumMod val="75000"/>
                  </a:schemeClr>
                </a:solidFill>
              </a:defRPr>
            </a:pPr>
            <a:endParaRPr lang="uk-UA"/>
          </a:p>
        </c:txPr>
        <c:crossAx val="400677400"/>
        <c:crosses val="autoZero"/>
        <c:crossBetween val="between"/>
      </c:valAx>
    </c:plotArea>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19"/>
    </mc:Choice>
    <mc:Fallback>
      <c:style val="19"/>
    </mc:Fallback>
  </mc:AlternateContent>
  <c:chart>
    <c:title>
      <c:tx>
        <c:rich>
          <a:bodyPr/>
          <a:lstStyle/>
          <a:p>
            <a:pPr>
              <a:defRPr/>
            </a:pPr>
            <a:r>
              <a:rPr lang="uk-UA"/>
              <a:t>Зовнішньоекономічна діяльність, млн дол.США</a:t>
            </a:r>
          </a:p>
        </c:rich>
      </c:tx>
      <c:overlay val="0"/>
    </c:title>
    <c:autoTitleDeleted val="0"/>
    <c:plotArea>
      <c:layout>
        <c:manualLayout>
          <c:layoutTarget val="inner"/>
          <c:xMode val="edge"/>
          <c:yMode val="edge"/>
          <c:x val="2.4444444444444446E-2"/>
          <c:y val="0.18901287553648069"/>
          <c:w val="0.80686649168853897"/>
          <c:h val="0.7229113581832316"/>
        </c:manualLayout>
      </c:layout>
      <c:barChart>
        <c:barDir val="col"/>
        <c:grouping val="clustered"/>
        <c:varyColors val="0"/>
        <c:ser>
          <c:idx val="0"/>
          <c:order val="0"/>
          <c:tx>
            <c:strRef>
              <c:f>Лист1!$A$30</c:f>
              <c:strCache>
                <c:ptCount val="1"/>
                <c:pt idx="0">
                  <c:v>Експорт   </c:v>
                </c:pt>
              </c:strCache>
            </c:strRef>
          </c:tx>
          <c:invertIfNegative val="0"/>
          <c:dLbls>
            <c:spPr>
              <a:noFill/>
              <a:ln>
                <a:noFill/>
              </a:ln>
              <a:effectLst/>
            </c:spPr>
            <c:txPr>
              <a:bodyPr/>
              <a:lstStyle/>
              <a:p>
                <a:pPr>
                  <a:defRPr sz="1000" b="1"/>
                </a:pPr>
                <a:endParaRPr lang="uk-UA"/>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Лист1!$B$29:$G$29</c:f>
              <c:strCache>
                <c:ptCount val="6"/>
                <c:pt idx="0">
                  <c:v>2014 р.</c:v>
                </c:pt>
                <c:pt idx="1">
                  <c:v>2015р.</c:v>
                </c:pt>
                <c:pt idx="2">
                  <c:v>2016р.</c:v>
                </c:pt>
                <c:pt idx="3">
                  <c:v>2017р.</c:v>
                </c:pt>
                <c:pt idx="4">
                  <c:v> 2018р.</c:v>
                </c:pt>
                <c:pt idx="5">
                  <c:v>11м.2019р.</c:v>
                </c:pt>
              </c:strCache>
            </c:strRef>
          </c:cat>
          <c:val>
            <c:numRef>
              <c:f>Лист1!$B$30:$G$30</c:f>
              <c:numCache>
                <c:formatCode>#,##0</c:formatCode>
                <c:ptCount val="6"/>
                <c:pt idx="0">
                  <c:v>200.4</c:v>
                </c:pt>
                <c:pt idx="1">
                  <c:v>169.6</c:v>
                </c:pt>
                <c:pt idx="2">
                  <c:v>379.6</c:v>
                </c:pt>
                <c:pt idx="3" formatCode="General">
                  <c:v>252.7</c:v>
                </c:pt>
                <c:pt idx="4" formatCode="General">
                  <c:v>224.3</c:v>
                </c:pt>
                <c:pt idx="5" formatCode="General">
                  <c:v>255.7</c:v>
                </c:pt>
              </c:numCache>
            </c:numRef>
          </c:val>
        </c:ser>
        <c:ser>
          <c:idx val="1"/>
          <c:order val="1"/>
          <c:tx>
            <c:strRef>
              <c:f>Лист1!$A$31</c:f>
              <c:strCache>
                <c:ptCount val="1"/>
                <c:pt idx="0">
                  <c:v>Імпорт </c:v>
                </c:pt>
              </c:strCache>
            </c:strRef>
          </c:tx>
          <c:invertIfNegative val="0"/>
          <c:dLbls>
            <c:dLbl>
              <c:idx val="2"/>
              <c:layout>
                <c:manualLayout>
                  <c:x val="2.6666666666666668E-2"/>
                  <c:y val="-8.5836909871244635E-3"/>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3"/>
              <c:layout>
                <c:manualLayout>
                  <c:x val="2.6666666666666505E-2"/>
                  <c:y val="-3.9341462548387961E-17"/>
                </c:manualLayout>
              </c:layout>
              <c:dLblPos val="outEnd"/>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1000" b="1"/>
                </a:pPr>
                <a:endParaRPr lang="uk-UA"/>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Лист1!$B$29:$G$29</c:f>
              <c:strCache>
                <c:ptCount val="6"/>
                <c:pt idx="0">
                  <c:v>2014 р.</c:v>
                </c:pt>
                <c:pt idx="1">
                  <c:v>2015р.</c:v>
                </c:pt>
                <c:pt idx="2">
                  <c:v>2016р.</c:v>
                </c:pt>
                <c:pt idx="3">
                  <c:v>2017р.</c:v>
                </c:pt>
                <c:pt idx="4">
                  <c:v> 2018р.</c:v>
                </c:pt>
                <c:pt idx="5">
                  <c:v>11м.2019р.</c:v>
                </c:pt>
              </c:strCache>
            </c:strRef>
          </c:cat>
          <c:val>
            <c:numRef>
              <c:f>Лист1!$B$31:$G$31</c:f>
              <c:numCache>
                <c:formatCode>0.0</c:formatCode>
                <c:ptCount val="6"/>
                <c:pt idx="0">
                  <c:v>230.9</c:v>
                </c:pt>
                <c:pt idx="1">
                  <c:v>142.5</c:v>
                </c:pt>
                <c:pt idx="2">
                  <c:v>196.8</c:v>
                </c:pt>
                <c:pt idx="3">
                  <c:v>232.4</c:v>
                </c:pt>
                <c:pt idx="4">
                  <c:v>244.2</c:v>
                </c:pt>
                <c:pt idx="5">
                  <c:v>237.5</c:v>
                </c:pt>
              </c:numCache>
            </c:numRef>
          </c:val>
        </c:ser>
        <c:dLbls>
          <c:dLblPos val="outEnd"/>
          <c:showLegendKey val="0"/>
          <c:showVal val="1"/>
          <c:showCatName val="0"/>
          <c:showSerName val="0"/>
          <c:showPercent val="0"/>
          <c:showBubbleSize val="0"/>
        </c:dLbls>
        <c:gapWidth val="150"/>
        <c:axId val="400675440"/>
        <c:axId val="400677792"/>
      </c:barChart>
      <c:catAx>
        <c:axId val="400675440"/>
        <c:scaling>
          <c:orientation val="minMax"/>
        </c:scaling>
        <c:delete val="0"/>
        <c:axPos val="b"/>
        <c:numFmt formatCode="General" sourceLinked="0"/>
        <c:majorTickMark val="out"/>
        <c:minorTickMark val="none"/>
        <c:tickLblPos val="nextTo"/>
        <c:crossAx val="400677792"/>
        <c:crosses val="autoZero"/>
        <c:auto val="1"/>
        <c:lblAlgn val="ctr"/>
        <c:lblOffset val="100"/>
        <c:noMultiLvlLbl val="0"/>
      </c:catAx>
      <c:valAx>
        <c:axId val="400677792"/>
        <c:scaling>
          <c:orientation val="minMax"/>
        </c:scaling>
        <c:delete val="1"/>
        <c:axPos val="l"/>
        <c:majorGridlines/>
        <c:numFmt formatCode="#,##0" sourceLinked="1"/>
        <c:majorTickMark val="out"/>
        <c:minorTickMark val="none"/>
        <c:tickLblPos val="nextTo"/>
        <c:crossAx val="400675440"/>
        <c:crosses val="autoZero"/>
        <c:crossBetween val="between"/>
      </c:valAx>
    </c:plotArea>
    <c:legend>
      <c:legendPos val="r"/>
      <c:layout>
        <c:manualLayout>
          <c:xMode val="edge"/>
          <c:yMode val="edge"/>
          <c:x val="0.85923447069116365"/>
          <c:y val="0.49978878713122232"/>
          <c:w val="0.11187664041994751"/>
          <c:h val="0.19384475009293367"/>
        </c:manualLayout>
      </c:layout>
      <c:overlay val="0"/>
      <c:txPr>
        <a:bodyPr/>
        <a:lstStyle/>
        <a:p>
          <a:pPr>
            <a:defRPr sz="900" b="1"/>
          </a:pPr>
          <a:endParaRPr lang="uk-UA"/>
        </a:p>
      </c:txPr>
    </c:legend>
    <c:plotVisOnly val="1"/>
    <c:dispBlanksAs val="gap"/>
    <c:showDLblsOverMax val="0"/>
  </c:chart>
  <c:txPr>
    <a:bodyPr/>
    <a:lstStyle/>
    <a:p>
      <a:pPr>
        <a:defRPr sz="800">
          <a:latin typeface="Arial" pitchFamily="34" charset="0"/>
          <a:cs typeface="Arial" pitchFamily="34" charset="0"/>
        </a:defRPr>
      </a:pPr>
      <a:endParaRPr lang="uk-UA"/>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6599F8-9E2A-4A87-AC84-1F152FBF2D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85192</Words>
  <Characters>48560</Characters>
  <Application>Microsoft Office Word</Application>
  <DocSecurity>0</DocSecurity>
  <Lines>404</Lines>
  <Paragraphs>266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133486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Користувач Windows</cp:lastModifiedBy>
  <cp:revision>5</cp:revision>
  <dcterms:created xsi:type="dcterms:W3CDTF">2020-02-27T13:01:00Z</dcterms:created>
  <dcterms:modified xsi:type="dcterms:W3CDTF">2020-02-28T09:09:00Z</dcterms:modified>
</cp:coreProperties>
</file>