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88B" w:rsidRPr="00DD088B" w:rsidRDefault="00DD088B" w:rsidP="007B04EC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</w:p>
    <w:p w:rsidR="00DD088B" w:rsidRPr="00DD088B" w:rsidRDefault="00DD088B" w:rsidP="007B04EC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виконавчого</w:t>
      </w:r>
    </w:p>
    <w:p w:rsidR="00DD088B" w:rsidRPr="00DD088B" w:rsidRDefault="00DD088B" w:rsidP="007B04EC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 міської ради</w:t>
      </w:r>
    </w:p>
    <w:p w:rsidR="00DD088B" w:rsidRPr="00DD088B" w:rsidRDefault="00DD088B" w:rsidP="007B04EC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____________ року №______</w:t>
      </w:r>
    </w:p>
    <w:p w:rsidR="00DD088B" w:rsidRPr="00DD088B" w:rsidRDefault="00DD088B" w:rsidP="00DD088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D088B" w:rsidRPr="00DD088B" w:rsidRDefault="00DD088B" w:rsidP="00DD088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D088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DD088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DD088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DD088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DD088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DD088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DD088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                                                                    </w:t>
      </w:r>
    </w:p>
    <w:p w:rsidR="00DD088B" w:rsidRPr="00DD088B" w:rsidRDefault="00DD088B" w:rsidP="00DD08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В І Т</w:t>
      </w:r>
    </w:p>
    <w:p w:rsidR="00DD088B" w:rsidRPr="00DD088B" w:rsidRDefault="00DD088B" w:rsidP="00DD0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роботу Департаменту комунальних ресурсів </w:t>
      </w:r>
    </w:p>
    <w:p w:rsidR="00DD088B" w:rsidRPr="00DD088B" w:rsidRDefault="00DD088B" w:rsidP="00DD0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Івано-Франківської міської ради </w:t>
      </w:r>
    </w:p>
    <w:p w:rsidR="00DD088B" w:rsidRPr="00DD088B" w:rsidRDefault="00DD088B" w:rsidP="00DD0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2019 рік</w:t>
      </w:r>
    </w:p>
    <w:p w:rsidR="00DD088B" w:rsidRPr="00DD088B" w:rsidRDefault="00DD088B" w:rsidP="00DD08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088B" w:rsidRPr="00DD088B" w:rsidRDefault="00DD088B" w:rsidP="00DD0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Протягом звітного періоду Департамент комунальних ресурсів здійснював свою діяльність відповідно до затвердженого плану роботи та Положення про Департамент. </w:t>
      </w:r>
    </w:p>
    <w:p w:rsidR="00DD088B" w:rsidRPr="00DD088B" w:rsidRDefault="00DD088B" w:rsidP="00DD0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Зокрема, до складу Департаменту входять такі структурні підрозділи без прав юридичної особи:</w:t>
      </w:r>
    </w:p>
    <w:p w:rsidR="00DD088B" w:rsidRPr="00DD088B" w:rsidRDefault="00DD088B" w:rsidP="00DD088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 комунального майна;</w:t>
      </w:r>
    </w:p>
    <w:p w:rsidR="00DD088B" w:rsidRPr="00DD088B" w:rsidRDefault="00DD088B" w:rsidP="00DD088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 земельних відносин;</w:t>
      </w:r>
    </w:p>
    <w:p w:rsidR="00DD088B" w:rsidRPr="00DD088B" w:rsidRDefault="00DD088B" w:rsidP="00DD088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 самоврядного контролю;</w:t>
      </w:r>
    </w:p>
    <w:p w:rsidR="00DD088B" w:rsidRPr="00DD088B" w:rsidRDefault="00DD088B" w:rsidP="00DD088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 бухгалтерського обліку;</w:t>
      </w:r>
    </w:p>
    <w:p w:rsidR="00DD088B" w:rsidRDefault="00DD088B" w:rsidP="00DD088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сектор діловодства.</w:t>
      </w:r>
    </w:p>
    <w:p w:rsidR="00AE1045" w:rsidRPr="00DD088B" w:rsidRDefault="00AE1045" w:rsidP="00AE10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88B" w:rsidRPr="00DD088B" w:rsidRDefault="00DD088B" w:rsidP="00DD088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Діяльність у сфері управління комунальним майном</w:t>
      </w:r>
    </w:p>
    <w:p w:rsidR="00DD088B" w:rsidRPr="00DD088B" w:rsidRDefault="00DD088B" w:rsidP="00DD088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міста Івано-Франківська за 201</w:t>
      </w:r>
      <w:r w:rsidRPr="00DD08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ru-RU" w:eastAsia="ru-RU"/>
        </w:rPr>
        <w:t>9</w:t>
      </w:r>
      <w:r w:rsidRPr="00DD08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рік </w:t>
      </w:r>
    </w:p>
    <w:p w:rsidR="00DD088B" w:rsidRPr="00DD088B" w:rsidRDefault="00DD088B" w:rsidP="00DD088B">
      <w:pPr>
        <w:shd w:val="clear" w:color="auto" w:fill="FFFFFF"/>
        <w:tabs>
          <w:tab w:val="left" w:pos="288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Станом на 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01.01.2020 </w:t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р. 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обліку у</w:t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Департаменті комунальних ресурсів </w:t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перебуває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465 </w:t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договор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оренди нежитлових приміщень 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та 38</w:t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договор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безоплатного користування нежитлови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приміщен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 загальною площею 82 699,73 кв.м.</w:t>
      </w:r>
    </w:p>
    <w:p w:rsidR="00DD088B" w:rsidRPr="00DD088B" w:rsidRDefault="00DD088B" w:rsidP="00DD08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Департамент комунальних ресурсів Івано-Франківської міської ради у сфері управління комунальним майном покладені такі завдання:</w:t>
      </w:r>
    </w:p>
    <w:p w:rsidR="00DD088B" w:rsidRPr="00DD088B" w:rsidRDefault="00DD088B" w:rsidP="00DD08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здійснення в межах своєї компетенції організаційно-технічного забезпечення реалізації виконавчим комітетом міської ради повноважень щодо управління майном комунальної власності територіальної громади міста Івано-Франківська, крім об’єктів житлового фонду та земельних ділянок;</w:t>
      </w:r>
    </w:p>
    <w:p w:rsidR="00DD088B" w:rsidRPr="00DD088B" w:rsidRDefault="00DD088B" w:rsidP="00DD08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здійснення повноважень щодо організації та проведення приватизації комунального майна;</w:t>
      </w:r>
    </w:p>
    <w:p w:rsidR="00DD088B" w:rsidRPr="00DD088B" w:rsidRDefault="00DD088B" w:rsidP="00DD08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вирішення в межах своєї компетенції питань, пов’язаних із наданням в оренду та безоплатне користування комунального майна.</w:t>
      </w:r>
    </w:p>
    <w:p w:rsidR="00DD088B" w:rsidRDefault="00DD088B" w:rsidP="00DD08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Протягом 2019 року Департаментом укладено 9 договорів купівлі-продажу об’єктів нерухомого майна на загальну суму</w:t>
      </w:r>
      <w:r w:rsidRPr="00DD088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fldChar w:fldCharType="begin"/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instrText xml:space="preserve"> =SUM(ABOVE) </w:instrText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fldChar w:fldCharType="separate"/>
      </w:r>
      <w:r w:rsidRPr="00DD08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9 562,9765</w:t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fldChar w:fldCharType="end"/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тис. грн. без ПДВ. До міського бюджету у звітному періоді перераховано кошти від відчуження майна, що перебуває у комунальній власності, в сумі </w:t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fldChar w:fldCharType="begin"/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instrText xml:space="preserve"> =SUM(ABOVE) </w:instrText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fldChar w:fldCharType="separate"/>
      </w:r>
      <w:r w:rsidR="0022261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10 </w:t>
      </w:r>
      <w:r w:rsidRPr="00DD088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887,225</w:t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fldChar w:fldCharType="end"/>
      </w:r>
      <w:r w:rsidR="0022261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тис.грн.</w:t>
      </w:r>
    </w:p>
    <w:p w:rsidR="00AE1045" w:rsidRDefault="00AE1045" w:rsidP="00DD08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045" w:rsidRPr="00DD088B" w:rsidRDefault="00AE1045" w:rsidP="00DD08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DD088B" w:rsidRPr="00DD088B" w:rsidTr="00A40E76">
        <w:trPr>
          <w:cantSplit/>
        </w:trPr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00FFFF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40" w:after="40" w:line="240" w:lineRule="auto"/>
              <w:ind w:right="34" w:firstLine="34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0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0"/>
                <w:lang w:eastAsia="ru-RU"/>
              </w:rPr>
              <w:t>Перелік приватизованих об</w:t>
            </w:r>
            <w:r w:rsidRPr="00DD088B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0"/>
                <w:lang w:val="ru-RU" w:eastAsia="ru-RU"/>
              </w:rPr>
              <w:t>’</w:t>
            </w:r>
            <w:r w:rsidRPr="00DD088B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0"/>
                <w:lang w:eastAsia="ru-RU"/>
              </w:rPr>
              <w:t>єктів нерухомого майна у 2019 році</w:t>
            </w:r>
          </w:p>
        </w:tc>
      </w:tr>
    </w:tbl>
    <w:p w:rsidR="00DD088B" w:rsidRPr="00DD088B" w:rsidRDefault="00DD088B" w:rsidP="00DD088B">
      <w:pPr>
        <w:pBdr>
          <w:between w:val="single" w:sz="8" w:space="1" w:color="auto"/>
        </w:pBdr>
        <w:spacing w:after="0" w:line="240" w:lineRule="auto"/>
        <w:ind w:right="284"/>
        <w:rPr>
          <w:rFonts w:ascii="Times New Roman" w:eastAsia="Times New Roman" w:hAnsi="Times New Roman" w:cs="Times New Roman"/>
          <w:sz w:val="2"/>
          <w:szCs w:val="2"/>
          <w:lang w:val="ru-RU"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2551"/>
        <w:gridCol w:w="1276"/>
        <w:gridCol w:w="1276"/>
      </w:tblGrid>
      <w:tr w:rsidR="00DD088B" w:rsidRPr="00DD088B" w:rsidTr="00A40E76">
        <w:trPr>
          <w:cantSplit/>
          <w:trHeight w:val="770"/>
          <w:tblHeader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ru-RU" w:eastAsia="ru-RU"/>
              </w:rPr>
              <w:t>№ п/п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ru-RU" w:eastAsia="ru-RU"/>
              </w:rPr>
              <w:t>Назва об</w:t>
            </w:r>
            <w:r w:rsidRPr="00DD088B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en-US" w:eastAsia="ru-RU"/>
              </w:rPr>
              <w:t>’</w:t>
            </w:r>
            <w:r w:rsidRPr="00DD088B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ru-RU" w:eastAsia="ru-RU"/>
              </w:rPr>
              <w:t>єкта приватизації</w:t>
            </w:r>
          </w:p>
        </w:tc>
        <w:tc>
          <w:tcPr>
            <w:tcW w:w="25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ru-RU" w:eastAsia="ru-RU"/>
              </w:rPr>
              <w:t>Адреса об</w:t>
            </w:r>
            <w:r w:rsidRPr="00DD088B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en-US" w:eastAsia="ru-RU"/>
              </w:rPr>
              <w:t>’</w:t>
            </w:r>
            <w:r w:rsidRPr="00DD088B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ru-RU" w:eastAsia="ru-RU"/>
              </w:rPr>
              <w:t>єкта приватизації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ru-RU" w:eastAsia="ru-RU"/>
              </w:rPr>
              <w:t>Площа кв.м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ru-RU" w:eastAsia="ru-RU"/>
              </w:rPr>
              <w:t>Ціна продажу без ПДВ, грн.</w:t>
            </w:r>
          </w:p>
        </w:tc>
      </w:tr>
      <w:tr w:rsidR="00DD088B" w:rsidRPr="00DD088B" w:rsidTr="00A40E76">
        <w:trPr>
          <w:cantSplit/>
          <w:trHeight w:val="550"/>
        </w:trPr>
        <w:tc>
          <w:tcPr>
            <w:tcW w:w="567" w:type="dxa"/>
            <w:shd w:val="clear" w:color="auto" w:fill="auto"/>
            <w:vAlign w:val="center"/>
          </w:tcPr>
          <w:p w:rsidR="00DD088B" w:rsidRPr="00DD088B" w:rsidRDefault="00DD088B" w:rsidP="00DD088B">
            <w:pPr>
              <w:numPr>
                <w:ilvl w:val="0"/>
                <w:numId w:val="1"/>
              </w:num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ind w:right="-18"/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  <w:t>Нежитлові приміщення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ind w:left="33"/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  <w:t>Незалежності, 37</w:t>
            </w:r>
          </w:p>
        </w:tc>
        <w:tc>
          <w:tcPr>
            <w:tcW w:w="1276" w:type="dxa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  <w:t>41,0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  <w:t>417200,0</w:t>
            </w:r>
          </w:p>
        </w:tc>
      </w:tr>
      <w:tr w:rsidR="00DD088B" w:rsidRPr="00DD088B" w:rsidTr="00A40E76">
        <w:trPr>
          <w:cantSplit/>
          <w:trHeight w:val="550"/>
        </w:trPr>
        <w:tc>
          <w:tcPr>
            <w:tcW w:w="567" w:type="dxa"/>
            <w:shd w:val="clear" w:color="auto" w:fill="auto"/>
            <w:vAlign w:val="center"/>
          </w:tcPr>
          <w:p w:rsidR="00DD088B" w:rsidRPr="00DD088B" w:rsidRDefault="00DD088B" w:rsidP="00DD088B">
            <w:pPr>
              <w:numPr>
                <w:ilvl w:val="0"/>
                <w:numId w:val="1"/>
              </w:num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ind w:right="-18"/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  <w:t xml:space="preserve">Нежитлові приміщення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ind w:left="33"/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  <w:t>Кардинала Любомира Гузара, 39</w:t>
            </w:r>
          </w:p>
        </w:tc>
        <w:tc>
          <w:tcPr>
            <w:tcW w:w="1276" w:type="dxa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  <w:t>230,6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20"/>
                <w:lang w:val="ru-RU" w:eastAsia="ru-RU"/>
              </w:rPr>
              <w:t>1380000,0</w:t>
            </w:r>
          </w:p>
        </w:tc>
      </w:tr>
      <w:tr w:rsidR="00DD088B" w:rsidRPr="00DD088B" w:rsidTr="00A40E76">
        <w:trPr>
          <w:cantSplit/>
          <w:trHeight w:val="550"/>
        </w:trPr>
        <w:tc>
          <w:tcPr>
            <w:tcW w:w="567" w:type="dxa"/>
            <w:shd w:val="clear" w:color="auto" w:fill="auto"/>
            <w:vAlign w:val="center"/>
          </w:tcPr>
          <w:p w:rsidR="00DD088B" w:rsidRPr="00DD088B" w:rsidRDefault="00DD088B" w:rsidP="00DD088B">
            <w:pPr>
              <w:numPr>
                <w:ilvl w:val="0"/>
                <w:numId w:val="1"/>
              </w:num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40" w:after="40" w:line="240" w:lineRule="auto"/>
              <w:ind w:right="-17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Нежитлові приміщення (літера А) площею 338,7 кв.м, вбиральня (літера Б) площею 3,8 кв.м, огорожа № 1, огорожа № 2, ворота № 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ind w:left="33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Короля Данила, 48 </w:t>
            </w:r>
          </w:p>
        </w:tc>
        <w:tc>
          <w:tcPr>
            <w:tcW w:w="1276" w:type="dxa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342,5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1775000,0</w:t>
            </w:r>
          </w:p>
        </w:tc>
      </w:tr>
      <w:tr w:rsidR="00DD088B" w:rsidRPr="00DD088B" w:rsidTr="00A40E76">
        <w:trPr>
          <w:cantSplit/>
          <w:trHeight w:val="550"/>
        </w:trPr>
        <w:tc>
          <w:tcPr>
            <w:tcW w:w="567" w:type="dxa"/>
            <w:shd w:val="clear" w:color="auto" w:fill="auto"/>
            <w:vAlign w:val="center"/>
          </w:tcPr>
          <w:p w:rsidR="00DD088B" w:rsidRPr="00DD088B" w:rsidRDefault="00DD088B" w:rsidP="00DD088B">
            <w:pPr>
              <w:numPr>
                <w:ilvl w:val="0"/>
                <w:numId w:val="1"/>
              </w:num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40" w:after="40" w:line="240" w:lineRule="auto"/>
              <w:ind w:right="-17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Нежитлові приміщення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ind w:left="33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Озаркевича, 13</w:t>
            </w:r>
          </w:p>
        </w:tc>
        <w:tc>
          <w:tcPr>
            <w:tcW w:w="1276" w:type="dxa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183,6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1543525,0</w:t>
            </w:r>
          </w:p>
        </w:tc>
      </w:tr>
      <w:tr w:rsidR="00DD088B" w:rsidRPr="00DD088B" w:rsidTr="00A40E76">
        <w:trPr>
          <w:cantSplit/>
          <w:trHeight w:val="550"/>
        </w:trPr>
        <w:tc>
          <w:tcPr>
            <w:tcW w:w="567" w:type="dxa"/>
            <w:shd w:val="clear" w:color="auto" w:fill="auto"/>
            <w:vAlign w:val="center"/>
          </w:tcPr>
          <w:p w:rsidR="00DD088B" w:rsidRPr="00DD088B" w:rsidRDefault="00DD088B" w:rsidP="00DD088B">
            <w:pPr>
              <w:numPr>
                <w:ilvl w:val="0"/>
                <w:numId w:val="1"/>
              </w:num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40" w:after="40" w:line="240" w:lineRule="auto"/>
              <w:ind w:right="-17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Нежитлові приміщення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ind w:left="33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Незалежності, 7</w:t>
            </w:r>
          </w:p>
        </w:tc>
        <w:tc>
          <w:tcPr>
            <w:tcW w:w="1276" w:type="dxa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60,75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1224277,00</w:t>
            </w:r>
          </w:p>
        </w:tc>
      </w:tr>
      <w:tr w:rsidR="00DD088B" w:rsidRPr="00DD088B" w:rsidTr="00A40E76">
        <w:trPr>
          <w:cantSplit/>
          <w:trHeight w:val="550"/>
        </w:trPr>
        <w:tc>
          <w:tcPr>
            <w:tcW w:w="567" w:type="dxa"/>
            <w:shd w:val="clear" w:color="auto" w:fill="auto"/>
            <w:vAlign w:val="center"/>
          </w:tcPr>
          <w:p w:rsidR="00DD088B" w:rsidRPr="00DD088B" w:rsidRDefault="00DD088B" w:rsidP="00DD088B">
            <w:pPr>
              <w:numPr>
                <w:ilvl w:val="0"/>
                <w:numId w:val="1"/>
              </w:num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40" w:after="40" w:line="240" w:lineRule="auto"/>
              <w:ind w:right="-17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Нежитлові приміщення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ind w:left="33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Франка, 10</w:t>
            </w:r>
          </w:p>
        </w:tc>
        <w:tc>
          <w:tcPr>
            <w:tcW w:w="1276" w:type="dxa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87,4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918657,0</w:t>
            </w:r>
          </w:p>
        </w:tc>
      </w:tr>
      <w:tr w:rsidR="00DD088B" w:rsidRPr="00DD088B" w:rsidTr="00A40E76">
        <w:trPr>
          <w:cantSplit/>
          <w:trHeight w:val="550"/>
        </w:trPr>
        <w:tc>
          <w:tcPr>
            <w:tcW w:w="567" w:type="dxa"/>
            <w:shd w:val="clear" w:color="auto" w:fill="auto"/>
            <w:vAlign w:val="center"/>
          </w:tcPr>
          <w:p w:rsidR="00DD088B" w:rsidRPr="00DD088B" w:rsidRDefault="00DD088B" w:rsidP="00DD088B">
            <w:pPr>
              <w:numPr>
                <w:ilvl w:val="0"/>
                <w:numId w:val="1"/>
              </w:num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40" w:after="40" w:line="240" w:lineRule="auto"/>
              <w:ind w:right="-17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Нежитловеі приміщення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ind w:left="33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Північний бульвар, 3</w:t>
            </w:r>
          </w:p>
        </w:tc>
        <w:tc>
          <w:tcPr>
            <w:tcW w:w="1276" w:type="dxa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16,4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249264,0</w:t>
            </w:r>
          </w:p>
        </w:tc>
      </w:tr>
      <w:tr w:rsidR="00DD088B" w:rsidRPr="00DD088B" w:rsidTr="00A40E76">
        <w:trPr>
          <w:cantSplit/>
          <w:trHeight w:val="550"/>
        </w:trPr>
        <w:tc>
          <w:tcPr>
            <w:tcW w:w="567" w:type="dxa"/>
            <w:shd w:val="clear" w:color="auto" w:fill="auto"/>
            <w:vAlign w:val="center"/>
          </w:tcPr>
          <w:p w:rsidR="00DD088B" w:rsidRPr="00DD088B" w:rsidRDefault="00DD088B" w:rsidP="00DD088B">
            <w:pPr>
              <w:numPr>
                <w:ilvl w:val="0"/>
                <w:numId w:val="1"/>
              </w:num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40" w:after="40" w:line="240" w:lineRule="auto"/>
              <w:ind w:right="-17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Нежитлові приміщення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ind w:left="33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Гетьмана Мазепи, 162</w:t>
            </w:r>
            <w:r w:rsidRPr="00DD088B">
              <w:rPr>
                <w:rFonts w:ascii="Times New Roman" w:eastAsia="Times New Roman" w:hAnsi="Times New Roman" w:cs="Times New Roman"/>
                <w:b/>
                <w:sz w:val="18"/>
                <w:szCs w:val="18"/>
                <w:vertAlign w:val="superscript"/>
                <w:lang w:val="ru-RU" w:eastAsia="ru-RU"/>
              </w:rPr>
              <w:t>В</w:t>
            </w:r>
          </w:p>
        </w:tc>
        <w:tc>
          <w:tcPr>
            <w:tcW w:w="1276" w:type="dxa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266,5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842594,0</w:t>
            </w:r>
          </w:p>
        </w:tc>
      </w:tr>
      <w:tr w:rsidR="00DD088B" w:rsidRPr="00DD088B" w:rsidTr="00A40E76">
        <w:trPr>
          <w:cantSplit/>
          <w:trHeight w:val="550"/>
        </w:trPr>
        <w:tc>
          <w:tcPr>
            <w:tcW w:w="567" w:type="dxa"/>
            <w:shd w:val="clear" w:color="auto" w:fill="auto"/>
            <w:vAlign w:val="center"/>
          </w:tcPr>
          <w:p w:rsidR="00DD088B" w:rsidRPr="00DD088B" w:rsidRDefault="00DD088B" w:rsidP="00DD088B">
            <w:pPr>
              <w:numPr>
                <w:ilvl w:val="0"/>
                <w:numId w:val="1"/>
              </w:num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40" w:after="40" w:line="240" w:lineRule="auto"/>
              <w:ind w:right="-17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Нежитлові приміщення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ind w:left="33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Шевченка, 1</w:t>
            </w:r>
          </w:p>
        </w:tc>
        <w:tc>
          <w:tcPr>
            <w:tcW w:w="1276" w:type="dxa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144,9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088B" w:rsidRPr="00DD088B" w:rsidRDefault="00DD088B" w:rsidP="00DD088B">
            <w:pPr>
              <w:pBdr>
                <w:top w:val="single" w:sz="8" w:space="1" w:color="auto"/>
                <w:left w:val="single" w:sz="8" w:space="1" w:color="auto"/>
                <w:bottom w:val="single" w:sz="8" w:space="1" w:color="auto"/>
                <w:right w:val="single" w:sz="8" w:space="1" w:color="auto"/>
                <w:between w:val="single" w:sz="8" w:space="1" w:color="auto"/>
              </w:pBd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1200200,0</w:t>
            </w:r>
          </w:p>
        </w:tc>
      </w:tr>
    </w:tbl>
    <w:p w:rsidR="00DD088B" w:rsidRPr="00DD088B" w:rsidRDefault="00DD088B" w:rsidP="00DD088B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ru-RU" w:eastAsia="ru-RU"/>
        </w:rPr>
      </w:pPr>
    </w:p>
    <w:p w:rsidR="00DD088B" w:rsidRPr="00DD088B" w:rsidRDefault="00DD088B" w:rsidP="00DD088B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ru-RU" w:eastAsia="ru-RU"/>
        </w:rPr>
      </w:pPr>
    </w:p>
    <w:p w:rsidR="007B04EC" w:rsidRDefault="007B04EC" w:rsidP="00DD08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088B" w:rsidRPr="00DD088B" w:rsidRDefault="00DD088B" w:rsidP="00DD08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2019 році Департаментом в порядку, передбаченому ст.ст.68-69 </w:t>
      </w:r>
      <w:r w:rsidR="007B04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акціонерні товариства» організовано відчуження пакету акцій ПрАТ «Івано-Франківська харчосмакова фабрика», що належать територіальній громаді міста Івано-Франківська у статутному капіталі товариства, в результаті чого було укладено договір купівлі-продажу цінних паперів на суму 1 324,249</w:t>
      </w:r>
      <w:r w:rsidR="007B04E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тис.грн. </w:t>
      </w:r>
    </w:p>
    <w:p w:rsidR="00DD088B" w:rsidRPr="00DD088B" w:rsidRDefault="00DD088B" w:rsidP="00DD08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Окрім цього, </w:t>
      </w:r>
      <w:r w:rsidR="007B04EC">
        <w:rPr>
          <w:rFonts w:ascii="Times New Roman" w:eastAsia="Times New Roman" w:hAnsi="Times New Roman" w:cs="Times New Roman"/>
          <w:sz w:val="28"/>
          <w:szCs w:val="28"/>
          <w:lang w:eastAsia="ru-RU"/>
        </w:rPr>
        <w:t>у 2019 році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Департаментом комунальних ресурсів була проведена відповідна робота щодо проведення аукціону в електронній торговій системі </w:t>
      </w:r>
      <w:r w:rsidRPr="00DD088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Prozorro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Продажі з продажу нежитлових приміщень на вул. Кардинала Любомира Гузара, 39, від продажу якого до міського бюджету перераховано 1380,0 тис. грн. при початковій ціні продажу – 1 098,602 тис.грн.</w:t>
      </w:r>
    </w:p>
    <w:p w:rsidR="00DD088B" w:rsidRPr="00DD088B" w:rsidRDefault="00DD088B" w:rsidP="00DD08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Разом з цим, Департаментом було забезпечено організаційний супровід укладення договору дарування 23/100 часток футбольного стадіону для дитячо-юнацького та аматорського футболу, відповідно до якого територіальна громада міста Івано-Франківська стала співвласником згаданого стадіону, а також договору купівлі-продажу майнових прав на нерухоме майно – групу нежитлових приміщень №103, частка яких становить 88/100 від загальної площі 1063,8 кв.м цокольних приміщень в багатоквартирному будинку за адресою: м. Івано-Франківськ, вул. Софіївка, 39</w:t>
      </w:r>
      <w:r w:rsidRPr="00DD088B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t>А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088B" w:rsidRDefault="00DD088B" w:rsidP="00DD08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Впродовж 2019 року Департаментом комунальних ресурсів</w:t>
      </w:r>
      <w:r w:rsidR="007B04EC" w:rsidRPr="007B0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04EC"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Івано-Франківської міської ради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B04EC" w:rsidRPr="00DD088B" w:rsidRDefault="007B04EC" w:rsidP="00DD08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B04E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укладено 63 договори оренди нежитлових приміщень загальною площею 11 347,75 кв.м та 4 договори безоплатного користування площею 501,3 кв.м.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D088B" w:rsidRPr="00DD088B" w:rsidRDefault="00DD088B" w:rsidP="00DD08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підготовлено 65 рішень виконавчого комітету міської ради та 44 рішення міської ради, які стосуються питань надання в оренду чи безоплатне користування (позичку) об’єктів комунальної власності міста та </w:t>
      </w:r>
      <w:r w:rsidR="007B04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приватизації комунального майна;</w:t>
      </w:r>
    </w:p>
    <w:p w:rsidR="007B04EC" w:rsidRDefault="00DD088B" w:rsidP="00DD08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проведено 28</w:t>
      </w:r>
      <w:r w:rsidRPr="00DD088B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засідань конкурсної комісії з відбору оцінювачів на право проведення оцінки об’єктів комунальної власності територіальної громади міста.</w:t>
      </w:r>
    </w:p>
    <w:p w:rsidR="007B04EC" w:rsidRPr="00DD088B" w:rsidRDefault="007B04EC" w:rsidP="007B04E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таблиці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DD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ведені планові та фактичні показники надходження коштів від приватизації та оренди об’єктів комунальної власності за 2019 рік: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7"/>
        <w:gridCol w:w="1961"/>
        <w:gridCol w:w="3731"/>
        <w:gridCol w:w="1653"/>
      </w:tblGrid>
      <w:tr w:rsidR="007B04EC" w:rsidRPr="00DD088B" w:rsidTr="00A40E76">
        <w:tc>
          <w:tcPr>
            <w:tcW w:w="1977" w:type="dxa"/>
            <w:shd w:val="clear" w:color="auto" w:fill="auto"/>
          </w:tcPr>
          <w:p w:rsidR="007B04EC" w:rsidRPr="00DD088B" w:rsidRDefault="007B04EC" w:rsidP="00A40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61" w:type="dxa"/>
            <w:shd w:val="clear" w:color="auto" w:fill="auto"/>
            <w:vAlign w:val="center"/>
          </w:tcPr>
          <w:p w:rsidR="007B04EC" w:rsidRPr="00DD088B" w:rsidRDefault="007B04EC" w:rsidP="00A4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Плановий показаник, </w:t>
            </w:r>
          </w:p>
          <w:p w:rsidR="007B04EC" w:rsidRPr="00DD088B" w:rsidRDefault="007B04EC" w:rsidP="00A4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тис.</w:t>
            </w:r>
            <w:r w:rsidRPr="00DD0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D0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грн.</w:t>
            </w:r>
          </w:p>
        </w:tc>
        <w:tc>
          <w:tcPr>
            <w:tcW w:w="3731" w:type="dxa"/>
            <w:shd w:val="clear" w:color="auto" w:fill="auto"/>
            <w:vAlign w:val="center"/>
          </w:tcPr>
          <w:p w:rsidR="007B04EC" w:rsidRPr="00DD088B" w:rsidRDefault="007B04EC" w:rsidP="00A4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Фактичне надходження коштів, які перераховані до міського бюджету, тис. грн.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7B04EC" w:rsidRPr="00DD088B" w:rsidRDefault="007B04EC" w:rsidP="00A4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% виконання</w:t>
            </w:r>
          </w:p>
        </w:tc>
      </w:tr>
      <w:tr w:rsidR="007B04EC" w:rsidRPr="00DD088B" w:rsidTr="00A40E76">
        <w:tc>
          <w:tcPr>
            <w:tcW w:w="1977" w:type="dxa"/>
            <w:shd w:val="clear" w:color="auto" w:fill="auto"/>
          </w:tcPr>
          <w:p w:rsidR="007B04EC" w:rsidRPr="00DD088B" w:rsidRDefault="007B04EC" w:rsidP="00A40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Приватизація </w:t>
            </w:r>
          </w:p>
        </w:tc>
        <w:tc>
          <w:tcPr>
            <w:tcW w:w="1961" w:type="dxa"/>
            <w:shd w:val="clear" w:color="auto" w:fill="auto"/>
          </w:tcPr>
          <w:p w:rsidR="007B04EC" w:rsidRPr="00DD088B" w:rsidRDefault="007B04EC" w:rsidP="00A4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3731" w:type="dxa"/>
            <w:shd w:val="clear" w:color="auto" w:fill="auto"/>
          </w:tcPr>
          <w:p w:rsidR="007B04EC" w:rsidRPr="00DD088B" w:rsidRDefault="007B04EC" w:rsidP="00A4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fldChar w:fldCharType="begin"/>
            </w:r>
            <w:r w:rsidRPr="00DD088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instrText xml:space="preserve"> =SUM(ABOVE) </w:instrText>
            </w:r>
            <w:r w:rsidRPr="00DD088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fldChar w:fldCharType="separate"/>
            </w:r>
            <w:r w:rsidRPr="00DD088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10 887,225</w:t>
            </w:r>
            <w:r w:rsidRPr="00DD088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fldChar w:fldCharType="end"/>
            </w:r>
          </w:p>
        </w:tc>
        <w:tc>
          <w:tcPr>
            <w:tcW w:w="1653" w:type="dxa"/>
            <w:shd w:val="clear" w:color="auto" w:fill="auto"/>
          </w:tcPr>
          <w:p w:rsidR="007B04EC" w:rsidRPr="00DD088B" w:rsidRDefault="007B04EC" w:rsidP="00A4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136,09</w:t>
            </w:r>
          </w:p>
        </w:tc>
      </w:tr>
      <w:tr w:rsidR="007B04EC" w:rsidRPr="00DD088B" w:rsidTr="00A40E76"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4EC" w:rsidRPr="00DD088B" w:rsidRDefault="007B04EC" w:rsidP="00A40E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Оренда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4EC" w:rsidRPr="00DD088B" w:rsidRDefault="007B04EC" w:rsidP="00A4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4EC" w:rsidRPr="00DD088B" w:rsidRDefault="007B04EC" w:rsidP="00A4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15 947,50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4EC" w:rsidRPr="00DD088B" w:rsidRDefault="007B04EC" w:rsidP="00A40E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106,3</w:t>
            </w:r>
          </w:p>
        </w:tc>
      </w:tr>
    </w:tbl>
    <w:p w:rsidR="007B04EC" w:rsidRDefault="007B04EC" w:rsidP="00DD088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088B" w:rsidRPr="00DD088B" w:rsidRDefault="00DD088B" w:rsidP="00DD088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Департаментом комунальних ресурсів постійно оновлюється розміщена на 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офіційному сайті Департаменту інтерактивна карта вільних нежитлових приміщень, які потенційно можуть бути надані в оренду або продані з аукціону, що дає можливість вільного доступу до ознайомлення з цією інформацією зацікавленим юридичним чи фізичним особам.</w:t>
      </w:r>
    </w:p>
    <w:p w:rsidR="00DD088B" w:rsidRPr="00DD088B" w:rsidRDefault="00DD088B" w:rsidP="00DD08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D088B" w:rsidRPr="00DD088B" w:rsidRDefault="00DD088B" w:rsidP="00DD08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D088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Діяльність у сфері  управління землями, </w:t>
      </w:r>
    </w:p>
    <w:p w:rsidR="00DD088B" w:rsidRDefault="00DD088B" w:rsidP="00DD08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DD088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які перебувають у віданні органів місцевого самоврядування територіальної громади міста Івано-Франківська</w:t>
      </w:r>
    </w:p>
    <w:p w:rsidR="007B04EC" w:rsidRPr="00DD088B" w:rsidRDefault="007B04EC" w:rsidP="00DD08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DD088B" w:rsidRPr="00DD088B" w:rsidRDefault="00DD088B" w:rsidP="00DD08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Станом на 01.01.2020 року на обліку перебуває 866 діючих договорів оренди землі загальною площею 240,2276 га на суму 47,67 млн. грн. річної орендної плати.</w:t>
      </w:r>
    </w:p>
    <w:p w:rsidR="00DD088B" w:rsidRPr="00DD088B" w:rsidRDefault="00DD088B" w:rsidP="00DD0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метою забезпечення надходжень до міського бюджету від плати за землю Департаментом комунальних ресурсів міської ради за 2019 рік підготовлено 139</w:t>
      </w:r>
      <w:r w:rsidR="003A3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D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проектів договорів оренди землі та 146</w:t>
      </w:r>
      <w:r w:rsidR="003A30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D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додаткових угод до договорів оренди, які були передані орендарям для подальшої реєстрації.</w:t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DD088B" w:rsidRPr="00DD088B" w:rsidRDefault="00DD088B" w:rsidP="00DD0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звітний період відбулося 10 засідань узгоджувальної комісії виконавчого комітету міської ради по розгляду земельних спорів, на яких розглянуто - 83 питання.</w:t>
      </w:r>
    </w:p>
    <w:p w:rsidR="00DD088B" w:rsidRPr="00DD088B" w:rsidRDefault="00DD088B" w:rsidP="00DD0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Протягом 2019 року укладено 36 договорів купівлі-продажу земельних ділянок комунальної власності міста загальною площею 6,0279 га на суму 14 748,13 тис. грн. В тому числі на земельних аукціонах продано 5 земельних ділянок на суму 1 074,215 тис.грн.</w:t>
      </w:r>
    </w:p>
    <w:p w:rsidR="00187405" w:rsidRDefault="00187405" w:rsidP="00DD088B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DD088B" w:rsidRDefault="00DD088B" w:rsidP="00DD088B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D088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lastRenderedPageBreak/>
        <w:t>Надходження від плати за землю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10"/>
        <w:gridCol w:w="1985"/>
        <w:gridCol w:w="1843"/>
        <w:gridCol w:w="1984"/>
      </w:tblGrid>
      <w:tr w:rsidR="00187405" w:rsidTr="00187405">
        <w:tc>
          <w:tcPr>
            <w:tcW w:w="3510" w:type="dxa"/>
          </w:tcPr>
          <w:p w:rsidR="00187405" w:rsidRDefault="00187405" w:rsidP="00DD088B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Найменування доходів </w:t>
            </w:r>
          </w:p>
          <w:p w:rsidR="00187405" w:rsidRDefault="00187405" w:rsidP="00DD088B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згідно із бюджетною класифікацією</w:t>
            </w:r>
          </w:p>
        </w:tc>
        <w:tc>
          <w:tcPr>
            <w:tcW w:w="1985" w:type="dxa"/>
          </w:tcPr>
          <w:p w:rsidR="00187405" w:rsidRPr="00DD088B" w:rsidRDefault="00187405" w:rsidP="0018740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Затверджений розпис</w:t>
            </w:r>
          </w:p>
          <w:p w:rsidR="00187405" w:rsidRDefault="00187405" w:rsidP="00187405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 2019 р.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тис.грн.</w:t>
            </w:r>
          </w:p>
        </w:tc>
        <w:tc>
          <w:tcPr>
            <w:tcW w:w="1843" w:type="dxa"/>
          </w:tcPr>
          <w:p w:rsidR="00187405" w:rsidRPr="00DD088B" w:rsidRDefault="00187405" w:rsidP="00187405">
            <w:pPr>
              <w:ind w:left="-285" w:right="-2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Фактичне виконання </w:t>
            </w:r>
          </w:p>
          <w:p w:rsidR="00187405" w:rsidRPr="00DD088B" w:rsidRDefault="00187405" w:rsidP="00187405">
            <w:pPr>
              <w:ind w:left="-285" w:right="-25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  2019 р.,</w:t>
            </w:r>
          </w:p>
          <w:p w:rsidR="00187405" w:rsidRDefault="00187405" w:rsidP="00187405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тис. грн.</w:t>
            </w:r>
          </w:p>
        </w:tc>
        <w:tc>
          <w:tcPr>
            <w:tcW w:w="1984" w:type="dxa"/>
          </w:tcPr>
          <w:p w:rsidR="00187405" w:rsidRPr="00DD088B" w:rsidRDefault="00187405" w:rsidP="00187405">
            <w:pPr>
              <w:ind w:left="-285" w:right="-2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Фактичне виконання</w:t>
            </w:r>
          </w:p>
          <w:p w:rsidR="00187405" w:rsidRPr="00DD088B" w:rsidRDefault="00187405" w:rsidP="00187405">
            <w:pPr>
              <w:ind w:left="-285" w:right="-2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 2018</w:t>
            </w: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р.,</w:t>
            </w:r>
          </w:p>
          <w:p w:rsidR="00187405" w:rsidRDefault="00187405" w:rsidP="00187405">
            <w:pPr>
              <w:tabs>
                <w:tab w:val="left" w:pos="993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тис. грн.</w:t>
            </w:r>
          </w:p>
        </w:tc>
      </w:tr>
      <w:tr w:rsidR="00187405" w:rsidTr="00187405">
        <w:tc>
          <w:tcPr>
            <w:tcW w:w="3510" w:type="dxa"/>
            <w:vAlign w:val="center"/>
          </w:tcPr>
          <w:p w:rsidR="00187405" w:rsidRPr="00DD088B" w:rsidRDefault="00187405" w:rsidP="00A40E76">
            <w:pPr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Орендна плата з фізичних та юридичних осіб</w:t>
            </w:r>
          </w:p>
        </w:tc>
        <w:tc>
          <w:tcPr>
            <w:tcW w:w="1985" w:type="dxa"/>
            <w:vAlign w:val="center"/>
          </w:tcPr>
          <w:p w:rsidR="00187405" w:rsidRPr="00DD088B" w:rsidRDefault="00187405" w:rsidP="00A40E7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61 600,0</w:t>
            </w:r>
          </w:p>
        </w:tc>
        <w:tc>
          <w:tcPr>
            <w:tcW w:w="1843" w:type="dxa"/>
            <w:vAlign w:val="center"/>
          </w:tcPr>
          <w:p w:rsidR="00187405" w:rsidRPr="00DD088B" w:rsidRDefault="00187405" w:rsidP="00A40E7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55 953,7</w:t>
            </w:r>
          </w:p>
        </w:tc>
        <w:tc>
          <w:tcPr>
            <w:tcW w:w="1984" w:type="dxa"/>
            <w:vAlign w:val="center"/>
          </w:tcPr>
          <w:p w:rsidR="00187405" w:rsidRPr="00DD088B" w:rsidRDefault="00187405" w:rsidP="00A40E7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55 665,4 </w:t>
            </w:r>
          </w:p>
        </w:tc>
      </w:tr>
      <w:tr w:rsidR="00187405" w:rsidTr="00187405">
        <w:tc>
          <w:tcPr>
            <w:tcW w:w="3510" w:type="dxa"/>
            <w:vAlign w:val="center"/>
          </w:tcPr>
          <w:p w:rsidR="00187405" w:rsidRPr="00DD088B" w:rsidRDefault="00187405" w:rsidP="00A40E76">
            <w:pPr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Земельний податок з фізичних та юридичних осіб</w:t>
            </w:r>
          </w:p>
        </w:tc>
        <w:tc>
          <w:tcPr>
            <w:tcW w:w="1985" w:type="dxa"/>
            <w:vAlign w:val="center"/>
          </w:tcPr>
          <w:p w:rsidR="00187405" w:rsidRPr="00DD088B" w:rsidRDefault="00187405" w:rsidP="00A40E7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40 700,0</w:t>
            </w:r>
          </w:p>
        </w:tc>
        <w:tc>
          <w:tcPr>
            <w:tcW w:w="1843" w:type="dxa"/>
            <w:vAlign w:val="center"/>
          </w:tcPr>
          <w:p w:rsidR="00187405" w:rsidRPr="00DD088B" w:rsidRDefault="00187405" w:rsidP="00A40E7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34 184,3</w:t>
            </w:r>
          </w:p>
        </w:tc>
        <w:tc>
          <w:tcPr>
            <w:tcW w:w="1984" w:type="dxa"/>
            <w:vAlign w:val="center"/>
          </w:tcPr>
          <w:p w:rsidR="00187405" w:rsidRPr="00DD088B" w:rsidRDefault="00187405" w:rsidP="00A40E7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32 768,3</w:t>
            </w:r>
          </w:p>
        </w:tc>
      </w:tr>
    </w:tbl>
    <w:p w:rsidR="00DD088B" w:rsidRPr="00DD088B" w:rsidRDefault="00DD088B" w:rsidP="00DD088B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Проведення земельних торгів (аукціонів)</w:t>
      </w:r>
    </w:p>
    <w:p w:rsidR="00DD088B" w:rsidRPr="00DD088B" w:rsidRDefault="00DD088B" w:rsidP="00DD088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Роботи по підготовці та проведенню земельних торгів, в тому числі виявлення потенційно-привабливих земельних ділянок для </w:t>
      </w:r>
      <w:r w:rsidR="00187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їх 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продажу </w:t>
      </w:r>
      <w:r w:rsidR="00187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земельних аукціонах здійснюю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ться Департаментом постійно.</w:t>
      </w:r>
    </w:p>
    <w:p w:rsidR="00DD088B" w:rsidRPr="00DD088B" w:rsidRDefault="00187405" w:rsidP="00DD088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</w:t>
      </w:r>
      <w:r w:rsidR="00DD088B"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березні 2019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D088B"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було організовано чотири аукціони по шести земельних ділянках.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88B"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Реалізовано право власності на земельну ділянку по вул. Тичини, 1 площею 0,0212 га,  для обслуговування стоянки автомобілів за 129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D088B"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242,27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D088B"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грн.</w:t>
      </w:r>
    </w:p>
    <w:p w:rsidR="00DD088B" w:rsidRPr="00DD088B" w:rsidRDefault="00187405" w:rsidP="00DD088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Також </w:t>
      </w:r>
      <w:r w:rsidR="00DD088B"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13 березня проведено торги з продажу права оренди земельної ділянки на вул. Джохара Дудаєва, поруч будинку № 29, площею 0.3841 га, кадастровий номер 2610100000:20:006:0209. Розмір орендної плати становить 302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D088B"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507,65 грн. на рік.</w:t>
      </w:r>
    </w:p>
    <w:p w:rsidR="00DD088B" w:rsidRPr="00DD088B" w:rsidRDefault="00DD088B" w:rsidP="00DD088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липня 2019 року відбулися земельні торги, на яких реалізовано право оренди земельно</w:t>
      </w:r>
      <w:r w:rsidR="00187405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ділянк</w:t>
      </w:r>
      <w:r w:rsidR="0018740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вул. Івасюка, навпроти будинку 52 з річним розміром орендної плати 25 014,45 грн.</w:t>
      </w:r>
    </w:p>
    <w:p w:rsidR="00DD088B" w:rsidRPr="00DD088B" w:rsidRDefault="00DD088B" w:rsidP="00DD088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15 липня 2019 року відбулися земельні торги, на яких продано дві земельні ділянки по вулиці Надрічній, 48 на загальну суму 449 406,95 грн.</w:t>
      </w:r>
    </w:p>
    <w:p w:rsidR="00DD088B" w:rsidRPr="00DD088B" w:rsidRDefault="00DD088B" w:rsidP="00DD088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04 грудня 2019 року відбулися земельні торги, на яких реалізовано право оренди</w:t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земельної ділянки, що по вул. В. Івасюка, р-н підстанції "Ринь"</w:t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терміном на 5 років, річний розмір орендної плати по результатах торгів склав 126 021,50 грн.</w:t>
      </w:r>
    </w:p>
    <w:p w:rsidR="00DD088B" w:rsidRPr="00DD088B" w:rsidRDefault="00DD088B" w:rsidP="00DD088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20 грудня 2019 року відбулися  земельні торги, на яких реалізовано право власності на 2 земельні ділянки: на вул. Д.Донцова, кадастровий номер 2610100000:06:001:0247, за 233 076,40 грн. та на вул. Джохара Дудаєва, 30 кадастровий номер 2610100000:20:009:0373  за 416 963,85 грн.</w:t>
      </w:r>
    </w:p>
    <w:p w:rsidR="00DD088B" w:rsidRPr="00DD088B" w:rsidRDefault="00DD088B" w:rsidP="00DD088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Забезпечення земельними ділянками учасників та інвалідів АТО</w:t>
      </w:r>
    </w:p>
    <w:p w:rsidR="00DD088B" w:rsidRPr="00DD088B" w:rsidRDefault="00DD088B" w:rsidP="00DD088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та членів їх сімей</w:t>
      </w:r>
    </w:p>
    <w:p w:rsidR="00DD088B" w:rsidRPr="00DD088B" w:rsidRDefault="00DD088B" w:rsidP="00DD088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Протягом 2019 року з метою з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абезпечення земельними ділянками учасників та інвалідів АТО, а також членів їх сімей Департаментом підготовлено проекти рішень, якими: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2835"/>
        <w:gridCol w:w="3118"/>
      </w:tblGrid>
      <w:tr w:rsidR="00DD088B" w:rsidRPr="00DD088B" w:rsidTr="007B04EC">
        <w:tc>
          <w:tcPr>
            <w:tcW w:w="3369" w:type="dxa"/>
            <w:shd w:val="clear" w:color="auto" w:fill="auto"/>
            <w:vAlign w:val="center"/>
          </w:tcPr>
          <w:p w:rsidR="00DD088B" w:rsidRPr="00DD088B" w:rsidRDefault="00DD088B" w:rsidP="00DD0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Цільове призначення земельної ділянки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D088B" w:rsidRPr="00DD088B" w:rsidRDefault="00DD088B" w:rsidP="00DD088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Надано дозволи на складання проектів землеустрою щодо відведення земельних ділянок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D088B" w:rsidRPr="00DD088B" w:rsidRDefault="00DD088B" w:rsidP="00DD088B">
            <w:pPr>
              <w:spacing w:after="0" w:line="240" w:lineRule="auto"/>
              <w:ind w:left="-108" w:right="-9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Затверджено проекти землеустрою та передано у власність земельні ділянки</w:t>
            </w:r>
          </w:p>
        </w:tc>
      </w:tr>
      <w:tr w:rsidR="00DD088B" w:rsidRPr="00DD088B" w:rsidTr="007B04EC">
        <w:tc>
          <w:tcPr>
            <w:tcW w:w="3369" w:type="dxa"/>
            <w:shd w:val="clear" w:color="auto" w:fill="auto"/>
            <w:vAlign w:val="center"/>
          </w:tcPr>
          <w:p w:rsidR="00DD088B" w:rsidRPr="00DD088B" w:rsidRDefault="00DD088B" w:rsidP="00DD0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Для ведення особистого селянського господарства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D088B" w:rsidRPr="00DD088B" w:rsidRDefault="00DD088B" w:rsidP="00DD0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D088B" w:rsidRPr="00DD088B" w:rsidRDefault="00DD088B" w:rsidP="00DD0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5</w:t>
            </w:r>
          </w:p>
        </w:tc>
      </w:tr>
      <w:tr w:rsidR="00DD088B" w:rsidRPr="00DD088B" w:rsidTr="007B04EC">
        <w:tc>
          <w:tcPr>
            <w:tcW w:w="3369" w:type="dxa"/>
            <w:shd w:val="clear" w:color="auto" w:fill="auto"/>
            <w:vAlign w:val="center"/>
          </w:tcPr>
          <w:p w:rsidR="00DD088B" w:rsidRPr="00DD088B" w:rsidRDefault="00DD088B" w:rsidP="00DD0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lastRenderedPageBreak/>
              <w:t>Для будівництва індивідуального гаража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D088B" w:rsidRPr="00DD088B" w:rsidRDefault="00DD088B" w:rsidP="00DD0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val="ru-RU" w:eastAsia="ru-RU"/>
              </w:rPr>
              <w:t>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D088B" w:rsidRPr="00DD088B" w:rsidRDefault="00DD088B" w:rsidP="00DD0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8</w:t>
            </w:r>
          </w:p>
        </w:tc>
      </w:tr>
      <w:tr w:rsidR="00DD088B" w:rsidRPr="00DD088B" w:rsidTr="007B04EC">
        <w:tc>
          <w:tcPr>
            <w:tcW w:w="3369" w:type="dxa"/>
            <w:shd w:val="clear" w:color="auto" w:fill="auto"/>
            <w:vAlign w:val="center"/>
          </w:tcPr>
          <w:p w:rsidR="00DD088B" w:rsidRPr="00DD088B" w:rsidRDefault="00DD088B" w:rsidP="00DD088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Для індивідуального садівництва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D088B" w:rsidRPr="00DD088B" w:rsidRDefault="00DD088B" w:rsidP="00DD0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14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D088B" w:rsidRPr="00DD088B" w:rsidRDefault="003A3045" w:rsidP="00DD0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val="ru-RU" w:eastAsia="ru-RU"/>
              </w:rPr>
              <w:t>-</w:t>
            </w:r>
          </w:p>
        </w:tc>
      </w:tr>
      <w:tr w:rsidR="00DD088B" w:rsidRPr="00DD088B" w:rsidTr="007B04EC">
        <w:tc>
          <w:tcPr>
            <w:tcW w:w="3369" w:type="dxa"/>
            <w:shd w:val="clear" w:color="auto" w:fill="auto"/>
            <w:vAlign w:val="center"/>
          </w:tcPr>
          <w:p w:rsidR="00DD088B" w:rsidRPr="00DD088B" w:rsidRDefault="00DD088B" w:rsidP="00DD088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Для будівництва і обслуговування житлового будинку, господарських будівель  і споруд (присадибна ділянка)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D088B" w:rsidRPr="00DD088B" w:rsidRDefault="00DD088B" w:rsidP="00DD0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D088B" w:rsidRPr="00DD088B" w:rsidRDefault="00DD088B" w:rsidP="00DD0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DD088B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3</w:t>
            </w:r>
          </w:p>
        </w:tc>
      </w:tr>
    </w:tbl>
    <w:p w:rsidR="00DD088B" w:rsidRPr="00DD088B" w:rsidRDefault="00DD088B" w:rsidP="00DD08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D088B" w:rsidRPr="00DD088B" w:rsidRDefault="00DD088B" w:rsidP="00DD088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Також</w:t>
      </w:r>
      <w:r w:rsidR="006C5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протягом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2016-201</w:t>
      </w:r>
      <w:r w:rsidR="006C55A6">
        <w:rPr>
          <w:rFonts w:ascii="Times New Roman" w:eastAsia="Times New Roman" w:hAnsi="Times New Roman" w:cs="Times New Roman"/>
          <w:sz w:val="28"/>
          <w:szCs w:val="28"/>
          <w:lang w:eastAsia="ru-RU"/>
        </w:rPr>
        <w:t>9 років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08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громадській організації «Івано-Франківська обласна спілка учасників та інвалідів АТО» передано в постійне користування </w:t>
      </w:r>
      <w:r w:rsidRPr="00DD088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1</w:t>
      </w:r>
      <w:r w:rsidR="006C55A6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3</w:t>
      </w:r>
      <w:r w:rsidRPr="00DD088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  <w:r w:rsidRPr="00DD08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земельних ділянок для будівництва багатоквартирних житлових будинків інвалідам та учасникам АТО та надано дозволи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складання проектів землеустрою щодо відведення </w:t>
      </w:r>
      <w:r w:rsidR="006C55A6" w:rsidRPr="006C55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земельних ділянок для вказаних цілей</w:t>
      </w:r>
      <w:r w:rsidRPr="00DD08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</w:p>
    <w:p w:rsidR="00DD088B" w:rsidRPr="00DD088B" w:rsidRDefault="00DD088B" w:rsidP="00DD088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Загалом для будівництва </w:t>
      </w:r>
      <w:r w:rsidRPr="00DD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житла учасникам АТО 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період з 2016 по 2019 роки ГО «Івано-Франківська обласна спілка учасників та інвалідів АТО» передано понад 9 га земельних ділянок із земель комунальної власності м.</w:t>
      </w:r>
      <w:r w:rsidR="006C55A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Івано-Франківська, в тому числі за 2019 рік 4,4437 га.</w:t>
      </w:r>
    </w:p>
    <w:p w:rsidR="00686B3E" w:rsidRDefault="00686B3E" w:rsidP="00DD08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D088B" w:rsidRPr="00DD088B" w:rsidRDefault="00DD088B" w:rsidP="00DD08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Здійснення самоврядного контролю</w:t>
      </w:r>
    </w:p>
    <w:p w:rsidR="00DD088B" w:rsidRPr="00DD088B" w:rsidRDefault="00DD088B" w:rsidP="00DD088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за використанням комунального майна міста</w:t>
      </w:r>
    </w:p>
    <w:p w:rsidR="00DD088B" w:rsidRPr="00DD088B" w:rsidRDefault="00DD088B" w:rsidP="00DD0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здійснення самоврядного контролю за використанням земель на території міста:</w:t>
      </w:r>
    </w:p>
    <w:p w:rsidR="00DD088B" w:rsidRPr="00DD088B" w:rsidRDefault="00DD088B" w:rsidP="00DD0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проведено обстеження </w:t>
      </w:r>
      <w:r w:rsidRPr="00DD0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72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земельних ділянок, за результатами яких складено </w:t>
      </w:r>
      <w:r w:rsidRPr="00DD0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72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 обстежень;</w:t>
      </w:r>
    </w:p>
    <w:p w:rsidR="00DD088B" w:rsidRPr="00DD088B" w:rsidRDefault="00DD088B" w:rsidP="00DD0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підготовлено </w:t>
      </w:r>
      <w:r w:rsidRPr="00DD0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повідомлень юридичним та фізичним особам-землекористувачам про проведення обстежень земельних ділянок;</w:t>
      </w:r>
    </w:p>
    <w:p w:rsidR="00DD088B" w:rsidRPr="00DD088B" w:rsidRDefault="00DD088B" w:rsidP="00DD0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підготовлено та направлено землекористувачам </w:t>
      </w:r>
      <w:r w:rsidRPr="00DD0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62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клопотання щодо усунення виявлених порушень.</w:t>
      </w:r>
    </w:p>
    <w:p w:rsidR="00DD088B" w:rsidRPr="00DD088B" w:rsidRDefault="00DD088B" w:rsidP="00DD0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результаті здійснених заходів:</w:t>
      </w:r>
    </w:p>
    <w:p w:rsidR="00DD088B" w:rsidRPr="00DD088B" w:rsidRDefault="00DD088B" w:rsidP="00DD0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D0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землекористувач звернувся до міської ради з метою оформлення права користування землею;</w:t>
      </w:r>
    </w:p>
    <w:p w:rsidR="00DD088B" w:rsidRPr="00DD088B" w:rsidRDefault="00DD088B" w:rsidP="00DD0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із </w:t>
      </w:r>
      <w:r w:rsidRPr="00DD0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землекористувачами укладено договори оренди землі із загальною річною сумою надходжень по них </w:t>
      </w:r>
      <w:r w:rsidRPr="00DD0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532 553,00 грн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DD088B" w:rsidRPr="00DD088B" w:rsidRDefault="00DD088B" w:rsidP="00DD0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D0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31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землекористувач не відреагував належним чином.</w:t>
      </w:r>
    </w:p>
    <w:p w:rsidR="00DD088B" w:rsidRPr="00DD088B" w:rsidRDefault="00DD088B" w:rsidP="00DD0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У випадку встановлення факту безпідставного збереження коштів за використання земельних ділянок комунальної форми власності на території                м. Івано-Франківська землекористувачам направлялися претензії, а також скеровувались матеріали в Департамент правової політики для подачі позовів до суду, зокрема:</w:t>
      </w:r>
    </w:p>
    <w:p w:rsidR="00DD088B" w:rsidRPr="00DD088B" w:rsidRDefault="00DD088B" w:rsidP="00DD0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</w:t>
      </w:r>
      <w:r w:rsidRPr="00DD0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60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земельних ділянках направлено претензії на загальну суму </w:t>
      </w:r>
      <w:r w:rsidRPr="00DD0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6C55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DD0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755</w:t>
      </w:r>
      <w:r w:rsidR="006C55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DD0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608,72 грн.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спонукання землекористувачів до добровільного відшкодування безпідставно збережених коштів за використання земельних ділянок комунальної форми власності на території м. Івано-Франківська;</w:t>
      </w:r>
    </w:p>
    <w:p w:rsidR="00DD088B" w:rsidRPr="00DD088B" w:rsidRDefault="00DD088B" w:rsidP="00DD0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по </w:t>
      </w:r>
      <w:r w:rsidRPr="00DD0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32 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земельних ділянках матеріали на загальну суму                                    </w:t>
      </w:r>
      <w:r w:rsidRPr="00DD0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3 932 344, 44 грн.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скеровано в Департамент правової політики для подачі позовів до суду про стягнення безпідставно збережених коштів за використання земельних ділянок комунальної форми власності на території м. Івано-Франківська. </w:t>
      </w:r>
    </w:p>
    <w:p w:rsidR="00DD088B" w:rsidRPr="00DD088B" w:rsidRDefault="00DD088B" w:rsidP="00DD0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Окрім того, працівниками управління самоврядного контролю взято участь у демонтажах </w:t>
      </w:r>
      <w:r w:rsidRPr="00DD0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об’єктів, які здійснювало КП «Муніципальна інспекція з благоустрою».  </w:t>
      </w:r>
    </w:p>
    <w:p w:rsidR="00DD088B" w:rsidRPr="00DD088B" w:rsidRDefault="00DD088B" w:rsidP="00DD08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Завдяки проведеній роботі на рахунок міського бюджету протягом                2019 року землекористувачами сплачено кошти у розмірі </w:t>
      </w:r>
      <w:r w:rsidRPr="00DD0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1 232 019, 18 грн.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використання земельних ділянок комунальної форми власності на території м. Івано-Франківська.</w:t>
      </w:r>
    </w:p>
    <w:p w:rsidR="00DD088B" w:rsidRPr="00DD088B" w:rsidRDefault="00DD088B" w:rsidP="00DD0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uk-UA" w:bidi="lo-LA"/>
        </w:rPr>
        <w:t xml:space="preserve">Для вирішення проблеми скорочення </w:t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надходжень, враховуючи практику </w:t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uk-UA" w:bidi="lo-LA"/>
        </w:rPr>
        <w:t>Верховного Суду України,</w:t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Департаментом комунальних ресурсів вжито наступні </w:t>
      </w:r>
      <w:r w:rsidRPr="00DD088B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заходи</w:t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DD088B" w:rsidRPr="00DD088B" w:rsidRDefault="00DD088B" w:rsidP="00DD0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розроблено нове Положення про здійснення самоврядного контролю за використанням та охороною земель у м. Івано-Франківську, в подальшому затверджене рішенням Івано-Франківської міської ради від 07.06.2019 р. №141-26, в якому</w:t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uk-UA" w:bidi="lo-LA"/>
        </w:rPr>
        <w:t xml:space="preserve"> </w:t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прописано порядок відшкодування безпідставно збережених коштів за використання земель комунальної форми власності на території м. Івано-Франківська;</w:t>
      </w:r>
    </w:p>
    <w:p w:rsidR="00DD088B" w:rsidRPr="00DD088B" w:rsidRDefault="00DD088B" w:rsidP="00DD0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розпочато інвентаризацію окремих земельних ділянок комунальної форми власності, </w:t>
      </w:r>
      <w:r w:rsidRPr="00DD08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складання за її результатами технічної документації із землеустрою та формування земельних ділянок </w:t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uk-UA" w:bidi="lo-LA"/>
        </w:rPr>
        <w:t>як об’єктів цивільних прав.</w:t>
      </w:r>
    </w:p>
    <w:p w:rsidR="00DD088B" w:rsidRPr="00DD088B" w:rsidRDefault="00DD088B" w:rsidP="00DD088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 здійсненні контролю за належним виконанням умов договорів користування комунальним майном підготовлено та направлено:</w:t>
      </w:r>
    </w:p>
    <w:p w:rsidR="00DD088B" w:rsidRPr="00DD088B" w:rsidRDefault="00DD088B" w:rsidP="00DD088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35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листів-повідомлень про сплату заборгованості з орендної плати, пені, 3% річних та інфляційних збитків;</w:t>
      </w:r>
    </w:p>
    <w:p w:rsidR="00DD088B" w:rsidRPr="00DD088B" w:rsidRDefault="00DD088B" w:rsidP="00DD088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претензії про неналежне виконання зобов’язань за договором оренди та </w:t>
      </w:r>
      <w:r w:rsidRPr="00DD0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повідомлення про відмову від договору оренди та звільнення нежитлових приміщень, а також </w:t>
      </w:r>
      <w:r w:rsidRPr="00DD08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повідомлень про неналежне виконання умов договорів оренди в частині виконання умови щодо страхування орендованого майна, оформлення права користування земельною ділянкою під об’єктом оренди та інших умов договорів;</w:t>
      </w:r>
    </w:p>
    <w:p w:rsidR="00DD088B" w:rsidRPr="00DD088B" w:rsidRDefault="00DD088B" w:rsidP="00DD088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4</w:t>
      </w:r>
      <w:r w:rsidRPr="00DD088B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 w:eastAsia="ru-RU"/>
        </w:rPr>
        <w:t xml:space="preserve"> </w:t>
      </w: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 до Департаменту правової політики про звернення в суд з позовними заявами та 1 позовну заяву до господарського суду Івано-Франківської області.</w:t>
      </w:r>
    </w:p>
    <w:p w:rsidR="00DD088B" w:rsidRPr="00DD088B" w:rsidRDefault="00DD088B" w:rsidP="00DD088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Проведено </w:t>
      </w:r>
      <w:r w:rsidRPr="00DD088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91</w:t>
      </w:r>
      <w:r w:rsidRPr="00DD08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обстеження нежитлових приміщень, за результатами яких складено </w:t>
      </w:r>
      <w:r w:rsidRPr="00DD088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91</w:t>
      </w:r>
      <w:r w:rsidRPr="00DD08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акт обстеження.</w:t>
      </w:r>
    </w:p>
    <w:p w:rsidR="00DD088B" w:rsidRPr="00DD088B" w:rsidRDefault="00DD088B" w:rsidP="00DD088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Завдяки проведеній претензійно-позовній та інформаційно-роз’яснювальній роботі покращується виконання орендарями умов договорів, зокрема щодо своєчасності та повноти сплати орендної плати, страхування орендованого майна, зменшується загальна заборгованість з орендної плати  та неустойки по діючих та припинених договорах оренди, а також додатково </w:t>
      </w:r>
      <w:r w:rsidRPr="00DD088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 xml:space="preserve">в міський бюджет боржниками сплачуються пеня, 3 % річних та інфляційні збитки. </w:t>
      </w:r>
    </w:p>
    <w:p w:rsidR="00DD088B" w:rsidRPr="006C55A6" w:rsidRDefault="00DD088B" w:rsidP="00DD0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0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Зокрема, завдяки проведеній роботі </w:t>
      </w:r>
      <w:r w:rsidRPr="006C5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боржниками на виконання рішень судів було сплачено </w:t>
      </w:r>
      <w:r w:rsidRPr="006C55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165</w:t>
      </w:r>
      <w:r w:rsidRPr="006C55A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 </w:t>
      </w:r>
      <w:r w:rsidRPr="006C55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531,76 грн</w:t>
      </w:r>
      <w:r w:rsidRPr="006C55A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погашення заборгованості з орендної плати, пені, інфляційних витрат, 3 % річних та неустойки.</w:t>
      </w:r>
    </w:p>
    <w:p w:rsidR="00DD088B" w:rsidRPr="00DD088B" w:rsidRDefault="00DD088B" w:rsidP="00DD088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C55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Окрім цього, з усіма Орендарями постійно ведеться</w:t>
      </w:r>
      <w:r w:rsidRPr="00DD08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телефонному режимі інформаційна та роз’яснювальна робота по питанню сплати орендних платежів.</w:t>
      </w:r>
    </w:p>
    <w:p w:rsidR="00AE1045" w:rsidRDefault="00AE1045" w:rsidP="00DD088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5A6" w:rsidRDefault="006C55A6" w:rsidP="00DD088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045" w:rsidRDefault="00AE1045" w:rsidP="00DD088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3A8" w:rsidRDefault="00DD088B" w:rsidP="00686B3E">
      <w:pPr>
        <w:jc w:val="center"/>
      </w:pPr>
      <w:r w:rsidRPr="00DD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Директор Департаменту</w:t>
      </w:r>
      <w:r w:rsidRPr="00DD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D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D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D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D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D08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І. Гриненько</w:t>
      </w:r>
    </w:p>
    <w:sectPr w:rsidR="006213A8" w:rsidSect="007B04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707" w:bottom="850" w:left="1985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8A6" w:rsidRDefault="00DC78A6" w:rsidP="00DD088B">
      <w:pPr>
        <w:spacing w:after="0" w:line="240" w:lineRule="auto"/>
      </w:pPr>
      <w:r>
        <w:separator/>
      </w:r>
    </w:p>
  </w:endnote>
  <w:endnote w:type="continuationSeparator" w:id="0">
    <w:p w:rsidR="00DC78A6" w:rsidRDefault="00DC78A6" w:rsidP="00DD0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88B" w:rsidRDefault="00DD088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88B" w:rsidRDefault="00DD088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88B" w:rsidRDefault="00DD088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8A6" w:rsidRDefault="00DC78A6" w:rsidP="00DD088B">
      <w:pPr>
        <w:spacing w:after="0" w:line="240" w:lineRule="auto"/>
      </w:pPr>
      <w:r>
        <w:separator/>
      </w:r>
    </w:p>
  </w:footnote>
  <w:footnote w:type="continuationSeparator" w:id="0">
    <w:p w:rsidR="00DC78A6" w:rsidRDefault="00DC78A6" w:rsidP="00DD08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88B" w:rsidRDefault="00DD088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9031611"/>
      <w:docPartObj>
        <w:docPartGallery w:val="Page Numbers (Top of Page)"/>
        <w:docPartUnique/>
      </w:docPartObj>
    </w:sdtPr>
    <w:sdtEndPr/>
    <w:sdtContent>
      <w:p w:rsidR="00DD088B" w:rsidRDefault="00DD088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D36" w:rsidRPr="00721D36">
          <w:rPr>
            <w:noProof/>
            <w:lang w:val="ru-RU"/>
          </w:rPr>
          <w:t>3</w:t>
        </w:r>
        <w:r>
          <w:fldChar w:fldCharType="end"/>
        </w:r>
      </w:p>
    </w:sdtContent>
  </w:sdt>
  <w:p w:rsidR="00DD088B" w:rsidRDefault="00DD088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88B" w:rsidRDefault="00DD088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42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6EB2693A"/>
    <w:multiLevelType w:val="hybridMultilevel"/>
    <w:tmpl w:val="1A5A55E0"/>
    <w:lvl w:ilvl="0" w:tplc="50B6CABC">
      <w:start w:val="6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09B315D"/>
    <w:multiLevelType w:val="hybridMultilevel"/>
    <w:tmpl w:val="2A92B036"/>
    <w:lvl w:ilvl="0" w:tplc="9162F04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88B"/>
    <w:rsid w:val="00105288"/>
    <w:rsid w:val="00187405"/>
    <w:rsid w:val="00222610"/>
    <w:rsid w:val="003A3045"/>
    <w:rsid w:val="00686B3E"/>
    <w:rsid w:val="006C55A6"/>
    <w:rsid w:val="00721D36"/>
    <w:rsid w:val="00785465"/>
    <w:rsid w:val="007B04EC"/>
    <w:rsid w:val="00AE1045"/>
    <w:rsid w:val="00DC78A6"/>
    <w:rsid w:val="00DD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2007A4-8E05-44A2-A351-F7BB9DDA5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8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D088B"/>
  </w:style>
  <w:style w:type="paragraph" w:styleId="a5">
    <w:name w:val="footer"/>
    <w:basedOn w:val="a"/>
    <w:link w:val="a6"/>
    <w:uiPriority w:val="99"/>
    <w:unhideWhenUsed/>
    <w:rsid w:val="00DD08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D088B"/>
  </w:style>
  <w:style w:type="table" w:styleId="a7">
    <w:name w:val="Table Grid"/>
    <w:basedOn w:val="a1"/>
    <w:uiPriority w:val="59"/>
    <w:rsid w:val="001874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E788B-0977-49F1-942E-4C7201C92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8911</Words>
  <Characters>5080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2020-02-12T09:35:00Z</cp:lastPrinted>
  <dcterms:created xsi:type="dcterms:W3CDTF">2020-02-14T07:26:00Z</dcterms:created>
  <dcterms:modified xsi:type="dcterms:W3CDTF">2020-02-14T07:26:00Z</dcterms:modified>
</cp:coreProperties>
</file>