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A1A" w:rsidRDefault="00C67A1A" w:rsidP="000D5541">
      <w:pPr>
        <w:shd w:val="clear" w:color="auto" w:fill="FFFFFF"/>
        <w:ind w:left="14" w:right="5244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C67A1A" w:rsidRDefault="00C67A1A" w:rsidP="000D5541">
      <w:pPr>
        <w:shd w:val="clear" w:color="auto" w:fill="FFFFFF"/>
        <w:ind w:left="14" w:right="5244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внесення на розгляд міської ради проекту рішення «</w:t>
      </w:r>
      <w:r>
        <w:rPr>
          <w:sz w:val="28"/>
          <w:szCs w:val="28"/>
          <w:lang w:val="uk-UA"/>
        </w:rPr>
        <w:t xml:space="preserve">Про перелік </w:t>
      </w:r>
    </w:p>
    <w:p w:rsidR="00C67A1A" w:rsidRDefault="00C67A1A" w:rsidP="000D5541">
      <w:pPr>
        <w:shd w:val="clear" w:color="auto" w:fill="FFFFFF"/>
        <w:ind w:left="14" w:right="52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закладів культури базової мережі Івано-Франківської міської об’єднаної територіальної громади</w:t>
      </w:r>
      <w:r>
        <w:rPr>
          <w:color w:val="000000"/>
          <w:sz w:val="28"/>
          <w:szCs w:val="28"/>
          <w:lang w:val="uk-UA"/>
        </w:rPr>
        <w:t>»</w:t>
      </w:r>
    </w:p>
    <w:p w:rsidR="00C67A1A" w:rsidRDefault="00C67A1A" w:rsidP="000D5541">
      <w:pPr>
        <w:shd w:val="clear" w:color="auto" w:fill="FFFFFF"/>
        <w:ind w:left="14" w:right="3072"/>
        <w:rPr>
          <w:color w:val="000000"/>
          <w:sz w:val="28"/>
          <w:szCs w:val="28"/>
          <w:lang w:val="uk-UA"/>
        </w:rPr>
      </w:pPr>
    </w:p>
    <w:p w:rsidR="00C67A1A" w:rsidRDefault="00C67A1A" w:rsidP="000D5541">
      <w:pPr>
        <w:ind w:left="1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27, 32 Закону України «Про місцеве самоврядування в Україні», статтями 22, 23, 24 Закону України «Про культуру», </w:t>
      </w:r>
      <w:r>
        <w:rPr>
          <w:sz w:val="28"/>
          <w:szCs w:val="20"/>
          <w:lang w:val="uk-UA"/>
        </w:rPr>
        <w:t xml:space="preserve">постановою Кабінету Міністрів України від 24.10.2012 № 984 </w:t>
      </w:r>
      <w:r>
        <w:rPr>
          <w:sz w:val="28"/>
          <w:szCs w:val="28"/>
          <w:lang w:val="uk-UA"/>
        </w:rPr>
        <w:t xml:space="preserve">«Про затвердження Порядку формування базової мережі закладів культури», враховуючи </w:t>
      </w:r>
      <w:r>
        <w:rPr>
          <w:rStyle w:val="rvts7"/>
          <w:color w:val="000000"/>
          <w:sz w:val="28"/>
          <w:szCs w:val="28"/>
          <w:lang w:val="uk-UA"/>
        </w:rPr>
        <w:t>рішення Івано-Франківської міської ради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rvts11"/>
          <w:color w:val="000000"/>
          <w:sz w:val="28"/>
          <w:szCs w:val="28"/>
          <w:shd w:val="clear" w:color="auto" w:fill="FFFFFF"/>
          <w:lang w:val="uk-UA"/>
        </w:rPr>
        <w:t>«</w:t>
      </w:r>
      <w:r>
        <w:rPr>
          <w:rStyle w:val="rvts7"/>
          <w:color w:val="000000"/>
          <w:sz w:val="28"/>
          <w:szCs w:val="28"/>
          <w:lang w:val="uk-UA"/>
        </w:rPr>
        <w:t xml:space="preserve">Про добровільне приєднання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Черніївської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сільської територіальної громади Тисменицького району Івано-Франківської області до Івано-Франківської міської територіальної громади</w:t>
      </w:r>
      <w:r>
        <w:rPr>
          <w:rStyle w:val="rvts11"/>
          <w:color w:val="000000"/>
          <w:sz w:val="28"/>
          <w:szCs w:val="28"/>
          <w:shd w:val="clear" w:color="auto" w:fill="FFFFFF"/>
          <w:lang w:val="uk-UA"/>
        </w:rPr>
        <w:t>» від 09.10.2019р. №229</w:t>
      </w:r>
      <w:r>
        <w:rPr>
          <w:sz w:val="28"/>
          <w:szCs w:val="28"/>
          <w:lang w:val="uk-UA"/>
        </w:rPr>
        <w:t>-31</w:t>
      </w:r>
      <w:r>
        <w:rPr>
          <w:rStyle w:val="rvts11"/>
          <w:color w:val="000000"/>
          <w:sz w:val="28"/>
          <w:szCs w:val="28"/>
          <w:shd w:val="clear" w:color="auto" w:fill="FFFFFF"/>
          <w:lang w:val="uk-UA"/>
        </w:rPr>
        <w:t>, «</w:t>
      </w:r>
      <w:r>
        <w:rPr>
          <w:rStyle w:val="rvts7"/>
          <w:color w:val="000000"/>
          <w:sz w:val="28"/>
          <w:szCs w:val="28"/>
          <w:lang w:val="uk-UA"/>
        </w:rPr>
        <w:t xml:space="preserve">Про добровільне приєднання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Підлузької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сільської територіальної громади Тисменицького району Івано-Франківської області до Івано-Франківської міської територіальної громади»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11"/>
          <w:color w:val="000000"/>
          <w:sz w:val="28"/>
          <w:szCs w:val="28"/>
          <w:shd w:val="clear" w:color="auto" w:fill="FFFFFF"/>
          <w:lang w:val="uk-UA"/>
        </w:rPr>
        <w:t>від 09.10.2019р. №230</w:t>
      </w:r>
      <w:r>
        <w:rPr>
          <w:sz w:val="28"/>
          <w:szCs w:val="28"/>
          <w:lang w:val="uk-UA"/>
        </w:rPr>
        <w:t xml:space="preserve">-31 </w:t>
      </w:r>
      <w:r>
        <w:rPr>
          <w:rStyle w:val="rvts11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з метою реалізації державної політики в галузі культури, виконавчий комітет міської ради </w:t>
      </w:r>
    </w:p>
    <w:p w:rsidR="00C67A1A" w:rsidRDefault="00C67A1A" w:rsidP="000D5541">
      <w:pPr>
        <w:ind w:left="14"/>
        <w:rPr>
          <w:sz w:val="28"/>
          <w:szCs w:val="28"/>
          <w:lang w:val="uk-UA"/>
        </w:rPr>
      </w:pPr>
    </w:p>
    <w:p w:rsidR="00C67A1A" w:rsidRDefault="00C67A1A" w:rsidP="000D5541">
      <w:pPr>
        <w:ind w:left="1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C67A1A" w:rsidRDefault="00C67A1A" w:rsidP="000D5541">
      <w:pPr>
        <w:ind w:left="14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shd w:val="clear" w:color="auto" w:fill="FFFFFF"/>
        <w:ind w:left="14" w:right="-1" w:firstLine="6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міської ради проект рішення «Про перелік закладів культури базової мережі Івано-Франківської міської об’єднаної територіальної громади» (додається).</w:t>
      </w:r>
    </w:p>
    <w:p w:rsidR="00C67A1A" w:rsidRDefault="00C67A1A" w:rsidP="000D5541">
      <w:pPr>
        <w:shd w:val="clear" w:color="auto" w:fill="FFFFFF"/>
        <w:ind w:left="14" w:right="-1" w:firstLine="6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заступника міського голови О.Левицького.</w:t>
      </w:r>
    </w:p>
    <w:p w:rsidR="00C67A1A" w:rsidRDefault="00C67A1A" w:rsidP="000D5541">
      <w:pPr>
        <w:ind w:left="14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shd w:val="clear" w:color="auto" w:fill="FFFFFF"/>
        <w:ind w:left="14" w:right="3072"/>
        <w:rPr>
          <w:color w:val="000000"/>
          <w:sz w:val="28"/>
          <w:szCs w:val="28"/>
          <w:lang w:val="uk-UA"/>
        </w:rPr>
      </w:pPr>
    </w:p>
    <w:p w:rsidR="00C67A1A" w:rsidRDefault="00C67A1A" w:rsidP="000D5541">
      <w:pPr>
        <w:ind w:left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C67A1A" w:rsidRDefault="00C67A1A" w:rsidP="000D5541">
      <w:pPr>
        <w:shd w:val="clear" w:color="auto" w:fill="FFFFFF"/>
        <w:ind w:left="14" w:right="3072"/>
        <w:rPr>
          <w:color w:val="000000"/>
          <w:sz w:val="28"/>
          <w:szCs w:val="28"/>
          <w:lang w:val="uk-UA"/>
        </w:rPr>
      </w:pPr>
    </w:p>
    <w:p w:rsidR="00C67A1A" w:rsidRDefault="00C67A1A" w:rsidP="000D5541">
      <w:pPr>
        <w:shd w:val="clear" w:color="auto" w:fill="FFFFFF"/>
        <w:ind w:left="14" w:right="3072"/>
        <w:rPr>
          <w:color w:val="000000"/>
          <w:sz w:val="28"/>
          <w:szCs w:val="28"/>
          <w:lang w:val="uk-UA"/>
        </w:rPr>
      </w:pPr>
    </w:p>
    <w:p w:rsidR="00C67A1A" w:rsidRDefault="00C67A1A" w:rsidP="000D5541">
      <w:pPr>
        <w:shd w:val="clear" w:color="auto" w:fill="FFFFFF"/>
        <w:ind w:left="14" w:right="3072"/>
        <w:rPr>
          <w:color w:val="000000"/>
          <w:sz w:val="28"/>
          <w:szCs w:val="28"/>
          <w:lang w:val="uk-UA"/>
        </w:rPr>
      </w:pPr>
    </w:p>
    <w:p w:rsidR="00C67A1A" w:rsidRDefault="00C67A1A" w:rsidP="000D5541">
      <w:pPr>
        <w:shd w:val="clear" w:color="auto" w:fill="FFFFFF"/>
        <w:ind w:left="14" w:right="3072"/>
        <w:rPr>
          <w:color w:val="000000"/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6236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6236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6236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6236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6236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6236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6236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6236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6236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6236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6236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6236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6236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6236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6236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tabs>
          <w:tab w:val="left" w:pos="0"/>
        </w:tabs>
        <w:ind w:left="14" w:righ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перелік закладів культури базової мережі Івано-Франківської міської об’єднаної територіальної громади</w:t>
      </w:r>
    </w:p>
    <w:p w:rsidR="00C67A1A" w:rsidRDefault="00C67A1A" w:rsidP="000D5541">
      <w:pPr>
        <w:ind w:left="14"/>
        <w:rPr>
          <w:sz w:val="28"/>
          <w:szCs w:val="28"/>
          <w:lang w:val="uk-UA"/>
        </w:rPr>
      </w:pPr>
    </w:p>
    <w:p w:rsidR="00C67A1A" w:rsidRDefault="00C67A1A" w:rsidP="000D5541">
      <w:pPr>
        <w:shd w:val="clear" w:color="auto" w:fill="FFFFFF"/>
        <w:ind w:left="14" w:right="10" w:firstLine="5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статтями 26, 59, 60 Закону України «Про місцеве самоврядування в Україні»,  статтями 22, 23, 24 Закону України «Про культуру»,</w:t>
      </w:r>
      <w:r>
        <w:rPr>
          <w:szCs w:val="20"/>
          <w:lang w:val="uk-UA"/>
        </w:rPr>
        <w:t xml:space="preserve"> </w:t>
      </w:r>
      <w:r>
        <w:rPr>
          <w:sz w:val="28"/>
          <w:szCs w:val="20"/>
          <w:lang w:val="uk-UA"/>
        </w:rPr>
        <w:t xml:space="preserve">постановою Кабінету Міністрів України від 24.10.2012 № 984 «Про затвердження Порядку формування базової мережі закладів культури», </w:t>
      </w:r>
      <w:r>
        <w:rPr>
          <w:sz w:val="28"/>
          <w:szCs w:val="28"/>
          <w:lang w:val="uk-UA"/>
        </w:rPr>
        <w:t xml:space="preserve">враховуючи </w:t>
      </w:r>
      <w:r>
        <w:rPr>
          <w:rStyle w:val="rvts7"/>
          <w:color w:val="000000"/>
          <w:sz w:val="28"/>
          <w:szCs w:val="28"/>
          <w:lang w:val="uk-UA"/>
        </w:rPr>
        <w:t>рішення Івано-Франківської міської ради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rvts11"/>
          <w:color w:val="000000"/>
          <w:sz w:val="28"/>
          <w:szCs w:val="28"/>
          <w:shd w:val="clear" w:color="auto" w:fill="FFFFFF"/>
          <w:lang w:val="uk-UA"/>
        </w:rPr>
        <w:t>«</w:t>
      </w:r>
      <w:r>
        <w:rPr>
          <w:rStyle w:val="rvts7"/>
          <w:color w:val="000000"/>
          <w:sz w:val="28"/>
          <w:szCs w:val="28"/>
          <w:lang w:val="uk-UA"/>
        </w:rPr>
        <w:t xml:space="preserve">Про добровільне приєднання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Черніївської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сільської територіальної громади Тисменицького району Івано-Франківської області до Івано-Франківської міської територіальної громади</w:t>
      </w:r>
      <w:r>
        <w:rPr>
          <w:rStyle w:val="rvts11"/>
          <w:color w:val="000000"/>
          <w:sz w:val="28"/>
          <w:szCs w:val="28"/>
          <w:shd w:val="clear" w:color="auto" w:fill="FFFFFF"/>
          <w:lang w:val="uk-UA"/>
        </w:rPr>
        <w:t>» від 09.10.2019р. №229</w:t>
      </w:r>
      <w:r>
        <w:rPr>
          <w:sz w:val="28"/>
          <w:szCs w:val="28"/>
          <w:lang w:val="uk-UA"/>
        </w:rPr>
        <w:t>-31</w:t>
      </w:r>
      <w:r>
        <w:rPr>
          <w:rStyle w:val="rvts11"/>
          <w:color w:val="000000"/>
          <w:sz w:val="28"/>
          <w:szCs w:val="28"/>
          <w:shd w:val="clear" w:color="auto" w:fill="FFFFFF"/>
          <w:lang w:val="uk-UA"/>
        </w:rPr>
        <w:t>, «</w:t>
      </w:r>
      <w:r>
        <w:rPr>
          <w:rStyle w:val="rvts7"/>
          <w:color w:val="000000"/>
          <w:sz w:val="28"/>
          <w:szCs w:val="28"/>
          <w:lang w:val="uk-UA"/>
        </w:rPr>
        <w:t xml:space="preserve">Про добровільне приєднання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Підлузької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сільської територіальної громади Тисменицького району Івано-Франківської області до Івано-Франківської міської територіальної громади»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11"/>
          <w:color w:val="000000"/>
          <w:sz w:val="28"/>
          <w:szCs w:val="28"/>
          <w:shd w:val="clear" w:color="auto" w:fill="FFFFFF"/>
          <w:lang w:val="uk-UA"/>
        </w:rPr>
        <w:t>від 09.10.2019р. №230</w:t>
      </w:r>
      <w:r>
        <w:rPr>
          <w:sz w:val="28"/>
          <w:szCs w:val="28"/>
          <w:lang w:val="uk-UA"/>
        </w:rPr>
        <w:t xml:space="preserve">-31 </w:t>
      </w:r>
      <w:r>
        <w:rPr>
          <w:rStyle w:val="rvts11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з метою реалізації державної політики в галузі культури,  Івано-Франківська міська рада </w:t>
      </w:r>
    </w:p>
    <w:p w:rsidR="00C67A1A" w:rsidRDefault="00C67A1A" w:rsidP="000D5541">
      <w:pPr>
        <w:shd w:val="clear" w:color="auto" w:fill="FFFFFF"/>
        <w:ind w:left="14" w:right="10" w:firstLine="553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shd w:val="clear" w:color="auto" w:fill="FFFFFF"/>
        <w:ind w:left="14" w:right="10" w:firstLine="553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C67A1A" w:rsidRDefault="00C67A1A" w:rsidP="000D5541">
      <w:pPr>
        <w:shd w:val="clear" w:color="auto" w:fill="FFFFFF"/>
        <w:ind w:left="14" w:right="10" w:firstLine="553"/>
        <w:jc w:val="center"/>
        <w:rPr>
          <w:lang w:val="uk-UA"/>
        </w:rPr>
      </w:pPr>
    </w:p>
    <w:p w:rsidR="00C67A1A" w:rsidRDefault="00C67A1A" w:rsidP="000D5541">
      <w:pPr>
        <w:numPr>
          <w:ilvl w:val="0"/>
          <w:numId w:val="1"/>
        </w:numPr>
        <w:tabs>
          <w:tab w:val="left" w:pos="284"/>
        </w:tabs>
        <w:ind w:lef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перелік закладів культури базової мережі Івано-Франківської міської  об’єднаної територіальної громади (додається).</w:t>
      </w:r>
    </w:p>
    <w:p w:rsidR="00C67A1A" w:rsidRDefault="00C67A1A" w:rsidP="000D5541">
      <w:pPr>
        <w:numPr>
          <w:ilvl w:val="0"/>
          <w:numId w:val="1"/>
        </w:numPr>
        <w:tabs>
          <w:tab w:val="left" w:pos="284"/>
        </w:tabs>
        <w:ind w:lef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Вважати таким, що втратило чинність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рішення міської ради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16.05.2017р.  № 104-12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перелік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закладів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культури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базової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мережі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м.Івано-Франківська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C67A1A" w:rsidRDefault="00C67A1A" w:rsidP="000D5541">
      <w:pPr>
        <w:numPr>
          <w:ilvl w:val="0"/>
          <w:numId w:val="1"/>
        </w:numPr>
        <w:tabs>
          <w:tab w:val="left" w:pos="284"/>
        </w:tabs>
        <w:ind w:lef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заступника міського голови О.Левицького.</w:t>
      </w:r>
    </w:p>
    <w:p w:rsidR="00C67A1A" w:rsidRDefault="00C67A1A" w:rsidP="000D5541">
      <w:pPr>
        <w:ind w:left="14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ind w:left="14"/>
        <w:jc w:val="both"/>
        <w:rPr>
          <w:sz w:val="28"/>
          <w:szCs w:val="28"/>
          <w:lang w:val="uk-UA"/>
        </w:rPr>
      </w:pPr>
    </w:p>
    <w:p w:rsidR="00C67A1A" w:rsidRDefault="00C67A1A" w:rsidP="000D5541">
      <w:pPr>
        <w:ind w:left="14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4E2545" w:rsidRDefault="004E2545" w:rsidP="000D5541">
      <w:pPr>
        <w:ind w:left="14"/>
      </w:pPr>
    </w:p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7A7DAD"/>
    <w:multiLevelType w:val="hybridMultilevel"/>
    <w:tmpl w:val="3AF66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A1A"/>
    <w:rsid w:val="000D5541"/>
    <w:rsid w:val="004E2545"/>
    <w:rsid w:val="009B00C1"/>
    <w:rsid w:val="00C67A1A"/>
    <w:rsid w:val="00D2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AFB03-2147-4871-BA87-D53A077D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A1A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C67A1A"/>
  </w:style>
  <w:style w:type="character" w:customStyle="1" w:styleId="rvts7">
    <w:name w:val="rvts7"/>
    <w:basedOn w:val="a0"/>
    <w:rsid w:val="00C67A1A"/>
  </w:style>
  <w:style w:type="character" w:customStyle="1" w:styleId="rvts11">
    <w:name w:val="rvts11"/>
    <w:basedOn w:val="a0"/>
    <w:rsid w:val="00C67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2019-11-28T11:15:00Z</dcterms:created>
  <dcterms:modified xsi:type="dcterms:W3CDTF">2019-11-28T11:15:00Z</dcterms:modified>
</cp:coreProperties>
</file>