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E86" w:rsidRDefault="005C41A5" w:rsidP="00373E86">
      <w:pPr>
        <w:ind w:firstLine="567"/>
        <w:jc w:val="center"/>
        <w:rPr>
          <w:sz w:val="28"/>
          <w:szCs w:val="28"/>
          <w:lang w:val="uk-UA"/>
        </w:rPr>
      </w:pPr>
      <w:bookmarkStart w:id="0" w:name="_GoBack"/>
      <w:bookmarkEnd w:id="0"/>
      <w:r>
        <w:rPr>
          <w:sz w:val="28"/>
          <w:szCs w:val="28"/>
          <w:lang w:val="uk-UA"/>
        </w:rPr>
        <w:t xml:space="preserve">ЗВІТ </w:t>
      </w:r>
    </w:p>
    <w:p w:rsidR="005C41A5" w:rsidRDefault="005C41A5" w:rsidP="00373E86">
      <w:pPr>
        <w:ind w:firstLine="567"/>
        <w:jc w:val="center"/>
        <w:rPr>
          <w:sz w:val="28"/>
          <w:szCs w:val="28"/>
          <w:lang w:val="uk-UA"/>
        </w:rPr>
      </w:pPr>
      <w:r>
        <w:rPr>
          <w:sz w:val="28"/>
          <w:szCs w:val="28"/>
          <w:lang w:val="uk-UA"/>
        </w:rPr>
        <w:t>про роботу комунального некомерційного підприємства «Івано-Франківський міський клінічний перинатальний центр» у 2018 році</w:t>
      </w:r>
    </w:p>
    <w:p w:rsidR="00373E86" w:rsidRDefault="00373E86" w:rsidP="00D448C6">
      <w:pPr>
        <w:ind w:firstLine="567"/>
        <w:jc w:val="both"/>
        <w:rPr>
          <w:sz w:val="28"/>
          <w:szCs w:val="28"/>
          <w:lang w:val="uk-UA"/>
        </w:rPr>
      </w:pPr>
    </w:p>
    <w:p w:rsidR="00D448C6" w:rsidRPr="00D448C6" w:rsidRDefault="00D448C6" w:rsidP="00D448C6">
      <w:pPr>
        <w:ind w:firstLine="567"/>
        <w:jc w:val="both"/>
        <w:rPr>
          <w:sz w:val="32"/>
          <w:szCs w:val="32"/>
          <w:u w:val="single"/>
          <w:lang w:val="uk-UA"/>
        </w:rPr>
      </w:pPr>
      <w:r w:rsidRPr="00D448C6">
        <w:rPr>
          <w:sz w:val="28"/>
          <w:szCs w:val="28"/>
          <w:lang w:val="uk-UA"/>
        </w:rPr>
        <w:t>Акушерсько-гінекологічна допомога жіночому населенню. Надавалась</w:t>
      </w:r>
      <w:r w:rsidRPr="00D448C6">
        <w:rPr>
          <w:sz w:val="32"/>
          <w:szCs w:val="32"/>
          <w:lang w:val="uk-UA"/>
        </w:rPr>
        <w:t xml:space="preserve"> в </w:t>
      </w:r>
      <w:r w:rsidRPr="00D448C6">
        <w:rPr>
          <w:sz w:val="28"/>
          <w:szCs w:val="28"/>
          <w:lang w:val="uk-UA"/>
        </w:rPr>
        <w:t>КНП «Івано-Франківському міському клінічному перинатальному центрі», де розгорнуто 215 ліжок, з них: 135 акушерських і 80 ліжок гінекологічних.</w:t>
      </w:r>
    </w:p>
    <w:p w:rsidR="00D448C6" w:rsidRPr="00D448C6" w:rsidRDefault="00D448C6" w:rsidP="00D448C6">
      <w:pPr>
        <w:ind w:firstLine="708"/>
        <w:jc w:val="both"/>
        <w:rPr>
          <w:sz w:val="28"/>
          <w:szCs w:val="28"/>
        </w:rPr>
      </w:pPr>
      <w:r w:rsidRPr="00D448C6">
        <w:rPr>
          <w:sz w:val="28"/>
          <w:szCs w:val="28"/>
        </w:rPr>
        <w:t xml:space="preserve">В 2018 році проліковано 6829 проти 6596 у минулому році, що на 233 (3,5%)  хворих більше ніж у минулому році. </w:t>
      </w:r>
    </w:p>
    <w:p w:rsidR="00D448C6" w:rsidRPr="00D448C6" w:rsidRDefault="00D448C6" w:rsidP="00D448C6">
      <w:pPr>
        <w:ind w:firstLine="708"/>
        <w:jc w:val="both"/>
        <w:rPr>
          <w:sz w:val="28"/>
          <w:szCs w:val="28"/>
        </w:rPr>
      </w:pPr>
      <w:r w:rsidRPr="00D448C6">
        <w:rPr>
          <w:sz w:val="28"/>
          <w:szCs w:val="28"/>
        </w:rPr>
        <w:t>За 2018 рік у МКПЦ госпіталізовано міських жінок –</w:t>
      </w:r>
      <w:r w:rsidRPr="00D448C6">
        <w:rPr>
          <w:sz w:val="28"/>
          <w:szCs w:val="28"/>
          <w:lang w:val="uk-UA"/>
        </w:rPr>
        <w:t xml:space="preserve"> </w:t>
      </w:r>
      <w:r w:rsidRPr="00D448C6">
        <w:rPr>
          <w:sz w:val="28"/>
          <w:szCs w:val="28"/>
        </w:rPr>
        <w:t>4083 проти 4008, це на 75 більше,  що становить 60,0 % від загальної кількості тих, що поступили проти 60,1%</w:t>
      </w:r>
      <w:r w:rsidRPr="00D448C6">
        <w:rPr>
          <w:sz w:val="28"/>
          <w:szCs w:val="28"/>
          <w:lang w:val="uk-UA"/>
        </w:rPr>
        <w:t xml:space="preserve">  </w:t>
      </w:r>
      <w:r w:rsidRPr="00D448C6">
        <w:rPr>
          <w:sz w:val="28"/>
          <w:szCs w:val="28"/>
        </w:rPr>
        <w:t xml:space="preserve">у </w:t>
      </w:r>
      <w:r w:rsidRPr="00D448C6">
        <w:rPr>
          <w:sz w:val="28"/>
          <w:szCs w:val="28"/>
          <w:lang w:val="uk-UA"/>
        </w:rPr>
        <w:t>2017</w:t>
      </w:r>
      <w:r w:rsidRPr="00D448C6">
        <w:rPr>
          <w:sz w:val="28"/>
          <w:szCs w:val="28"/>
        </w:rPr>
        <w:t xml:space="preserve"> році. </w:t>
      </w:r>
    </w:p>
    <w:p w:rsidR="00D448C6" w:rsidRPr="00D448C6" w:rsidRDefault="00D448C6" w:rsidP="00D448C6">
      <w:pPr>
        <w:ind w:firstLine="708"/>
        <w:jc w:val="both"/>
        <w:rPr>
          <w:sz w:val="28"/>
          <w:szCs w:val="28"/>
        </w:rPr>
      </w:pPr>
      <w:r w:rsidRPr="00D448C6">
        <w:rPr>
          <w:sz w:val="28"/>
          <w:szCs w:val="28"/>
        </w:rPr>
        <w:t>Із інших населених пунктів госпіталізовано 2738</w:t>
      </w:r>
      <w:r w:rsidRPr="00D448C6">
        <w:rPr>
          <w:sz w:val="28"/>
          <w:szCs w:val="28"/>
          <w:lang w:val="uk-UA"/>
        </w:rPr>
        <w:t xml:space="preserve"> </w:t>
      </w:r>
      <w:r w:rsidRPr="00D448C6">
        <w:rPr>
          <w:sz w:val="28"/>
          <w:szCs w:val="28"/>
        </w:rPr>
        <w:t>-</w:t>
      </w:r>
      <w:r w:rsidRPr="00D448C6">
        <w:rPr>
          <w:sz w:val="28"/>
          <w:szCs w:val="28"/>
          <w:lang w:val="uk-UA"/>
        </w:rPr>
        <w:t xml:space="preserve"> </w:t>
      </w:r>
      <w:r w:rsidRPr="00D448C6">
        <w:rPr>
          <w:sz w:val="28"/>
          <w:szCs w:val="28"/>
        </w:rPr>
        <w:t>40,0% проти 2615</w:t>
      </w:r>
      <w:r w:rsidRPr="00D448C6">
        <w:rPr>
          <w:sz w:val="28"/>
          <w:szCs w:val="28"/>
          <w:lang w:val="uk-UA"/>
        </w:rPr>
        <w:t xml:space="preserve"> </w:t>
      </w:r>
      <w:r w:rsidRPr="00D448C6">
        <w:rPr>
          <w:sz w:val="28"/>
          <w:szCs w:val="28"/>
        </w:rPr>
        <w:t>-</w:t>
      </w:r>
      <w:r w:rsidRPr="00D448C6">
        <w:rPr>
          <w:sz w:val="28"/>
          <w:szCs w:val="28"/>
          <w:lang w:val="uk-UA"/>
        </w:rPr>
        <w:t xml:space="preserve"> </w:t>
      </w:r>
      <w:r w:rsidRPr="00D448C6">
        <w:rPr>
          <w:sz w:val="28"/>
          <w:szCs w:val="28"/>
        </w:rPr>
        <w:t xml:space="preserve">39,9% </w:t>
      </w:r>
      <w:r w:rsidRPr="00D448C6">
        <w:rPr>
          <w:sz w:val="28"/>
          <w:szCs w:val="28"/>
          <w:lang w:val="uk-UA"/>
        </w:rPr>
        <w:t xml:space="preserve"> </w:t>
      </w:r>
      <w:r w:rsidRPr="00D448C6">
        <w:rPr>
          <w:sz w:val="28"/>
          <w:szCs w:val="28"/>
        </w:rPr>
        <w:t xml:space="preserve">у </w:t>
      </w:r>
      <w:r w:rsidRPr="00D448C6">
        <w:rPr>
          <w:sz w:val="28"/>
          <w:szCs w:val="28"/>
          <w:lang w:val="uk-UA"/>
        </w:rPr>
        <w:t>2017</w:t>
      </w:r>
      <w:r w:rsidRPr="00D448C6">
        <w:rPr>
          <w:sz w:val="28"/>
          <w:szCs w:val="28"/>
        </w:rPr>
        <w:t xml:space="preserve"> році.</w:t>
      </w:r>
    </w:p>
    <w:p w:rsidR="00D448C6" w:rsidRPr="00D448C6" w:rsidRDefault="00D448C6" w:rsidP="00D448C6">
      <w:pPr>
        <w:ind w:firstLine="708"/>
        <w:jc w:val="both"/>
        <w:rPr>
          <w:sz w:val="28"/>
          <w:szCs w:val="28"/>
        </w:rPr>
      </w:pPr>
      <w:r w:rsidRPr="00D448C6">
        <w:rPr>
          <w:sz w:val="28"/>
          <w:szCs w:val="28"/>
        </w:rPr>
        <w:t xml:space="preserve">Виконання плану ліжко - днів 102,4%  проти 97,0%. </w:t>
      </w:r>
    </w:p>
    <w:p w:rsidR="00D448C6" w:rsidRPr="00D448C6" w:rsidRDefault="00D448C6" w:rsidP="00D448C6">
      <w:pPr>
        <w:ind w:firstLine="708"/>
        <w:jc w:val="both"/>
        <w:rPr>
          <w:sz w:val="28"/>
          <w:szCs w:val="28"/>
        </w:rPr>
      </w:pPr>
      <w:r w:rsidRPr="00D448C6">
        <w:rPr>
          <w:sz w:val="28"/>
          <w:szCs w:val="28"/>
        </w:rPr>
        <w:t>Середній термін перебування хворого на ліжку 9,3 проти 9,1. Об</w:t>
      </w:r>
      <w:r w:rsidRPr="00D448C6">
        <w:rPr>
          <w:sz w:val="28"/>
          <w:szCs w:val="28"/>
          <w:lang w:val="uk-UA"/>
        </w:rPr>
        <w:t>іг</w:t>
      </w:r>
      <w:r w:rsidRPr="00D448C6">
        <w:rPr>
          <w:sz w:val="28"/>
          <w:szCs w:val="28"/>
        </w:rPr>
        <w:t xml:space="preserve"> ліжка зменшився 31,8, проти 30,7 за рахунок збільшення терміну перебування пацієнтів. Зайнятість ліжка – 296,8 проти 280,4.</w:t>
      </w:r>
    </w:p>
    <w:p w:rsidR="00D448C6" w:rsidRPr="00D448C6" w:rsidRDefault="00D448C6" w:rsidP="00D448C6">
      <w:pPr>
        <w:ind w:firstLine="708"/>
        <w:jc w:val="both"/>
        <w:rPr>
          <w:sz w:val="28"/>
          <w:szCs w:val="28"/>
        </w:rPr>
      </w:pPr>
      <w:r w:rsidRPr="00D448C6">
        <w:rPr>
          <w:sz w:val="28"/>
          <w:szCs w:val="28"/>
        </w:rPr>
        <w:t xml:space="preserve">Акушерська допомога. Кількість проведених пологів за 2018 р.- 2243, </w:t>
      </w:r>
      <w:r w:rsidRPr="00D448C6">
        <w:rPr>
          <w:sz w:val="28"/>
          <w:szCs w:val="28"/>
          <w:lang w:val="uk-UA"/>
        </w:rPr>
        <w:t xml:space="preserve"> у</w:t>
      </w:r>
      <w:r w:rsidRPr="00D448C6">
        <w:rPr>
          <w:sz w:val="28"/>
          <w:szCs w:val="28"/>
        </w:rPr>
        <w:t xml:space="preserve"> 2017 р</w:t>
      </w:r>
      <w:r w:rsidRPr="00D448C6">
        <w:rPr>
          <w:sz w:val="28"/>
          <w:szCs w:val="28"/>
          <w:lang w:val="uk-UA"/>
        </w:rPr>
        <w:t xml:space="preserve">оці </w:t>
      </w:r>
      <w:r w:rsidRPr="00D448C6">
        <w:rPr>
          <w:sz w:val="28"/>
          <w:szCs w:val="28"/>
        </w:rPr>
        <w:t xml:space="preserve">- 2103, що на 140  пологів більше (6,6%). </w:t>
      </w: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249"/>
        <w:gridCol w:w="1174"/>
        <w:gridCol w:w="1134"/>
        <w:gridCol w:w="1134"/>
        <w:gridCol w:w="1134"/>
        <w:gridCol w:w="1134"/>
      </w:tblGrid>
      <w:tr w:rsidR="00D448C6" w:rsidRPr="00D448C6" w:rsidTr="0073607A">
        <w:tc>
          <w:tcPr>
            <w:tcW w:w="988"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w:t>
            </w:r>
            <w:r w:rsidRPr="00D448C6">
              <w:rPr>
                <w:lang w:val="uk-UA"/>
              </w:rPr>
              <w:t xml:space="preserve"> </w:t>
            </w:r>
            <w:r w:rsidRPr="00D448C6">
              <w:t>п/п</w:t>
            </w:r>
          </w:p>
        </w:tc>
        <w:tc>
          <w:tcPr>
            <w:tcW w:w="3249"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Показники роботи</w:t>
            </w:r>
          </w:p>
        </w:tc>
        <w:tc>
          <w:tcPr>
            <w:tcW w:w="117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2018 р.</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2017 р.</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2016р.</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2015р.</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2014р.</w:t>
            </w:r>
          </w:p>
        </w:tc>
      </w:tr>
      <w:tr w:rsidR="00D448C6" w:rsidRPr="00D448C6" w:rsidTr="0073607A">
        <w:tc>
          <w:tcPr>
            <w:tcW w:w="988"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1.</w:t>
            </w:r>
          </w:p>
        </w:tc>
        <w:tc>
          <w:tcPr>
            <w:tcW w:w="3249"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Кількість пологів МКПЦ</w:t>
            </w:r>
          </w:p>
        </w:tc>
        <w:tc>
          <w:tcPr>
            <w:tcW w:w="117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2243</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2103</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2349</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2368</w:t>
            </w:r>
          </w:p>
        </w:tc>
        <w:tc>
          <w:tcPr>
            <w:tcW w:w="1134"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2496</w:t>
            </w:r>
          </w:p>
        </w:tc>
      </w:tr>
    </w:tbl>
    <w:p w:rsidR="00D448C6" w:rsidRPr="00D448C6" w:rsidRDefault="00D448C6" w:rsidP="00D448C6">
      <w:pPr>
        <w:ind w:firstLine="709"/>
        <w:jc w:val="both"/>
        <w:rPr>
          <w:sz w:val="28"/>
          <w:szCs w:val="28"/>
        </w:rPr>
      </w:pPr>
      <w:r w:rsidRPr="00D448C6">
        <w:rPr>
          <w:sz w:val="28"/>
          <w:szCs w:val="28"/>
        </w:rPr>
        <w:t>Майже на одному рівні перебуває відсоток нормальних пологів</w:t>
      </w:r>
      <w:r w:rsidRPr="00D448C6">
        <w:rPr>
          <w:sz w:val="28"/>
          <w:szCs w:val="28"/>
          <w:lang w:val="uk-UA"/>
        </w:rPr>
        <w:t>, і</w:t>
      </w:r>
      <w:r w:rsidRPr="00D448C6">
        <w:rPr>
          <w:sz w:val="28"/>
          <w:szCs w:val="28"/>
        </w:rPr>
        <w:t xml:space="preserve"> становить 67,3%, проти 67,0% у 2017 році. Передчасні пологи становлять</w:t>
      </w:r>
      <w:r w:rsidRPr="00D448C6">
        <w:rPr>
          <w:sz w:val="28"/>
          <w:szCs w:val="28"/>
          <w:lang w:val="uk-UA"/>
        </w:rPr>
        <w:t xml:space="preserve">  </w:t>
      </w:r>
      <w:r w:rsidRPr="00D448C6">
        <w:rPr>
          <w:sz w:val="28"/>
          <w:szCs w:val="28"/>
        </w:rPr>
        <w:t>31</w:t>
      </w:r>
      <w:r w:rsidRPr="00D448C6">
        <w:rPr>
          <w:sz w:val="28"/>
          <w:szCs w:val="28"/>
          <w:lang w:val="uk-UA"/>
        </w:rPr>
        <w:t xml:space="preserve"> </w:t>
      </w:r>
      <w:r w:rsidRPr="00D448C6">
        <w:rPr>
          <w:sz w:val="28"/>
          <w:szCs w:val="28"/>
        </w:rPr>
        <w:t>-</w:t>
      </w:r>
      <w:r w:rsidRPr="00D448C6">
        <w:rPr>
          <w:sz w:val="28"/>
          <w:szCs w:val="28"/>
          <w:lang w:val="uk-UA"/>
        </w:rPr>
        <w:t xml:space="preserve"> </w:t>
      </w:r>
      <w:r w:rsidRPr="00D448C6">
        <w:rPr>
          <w:sz w:val="28"/>
          <w:szCs w:val="28"/>
        </w:rPr>
        <w:t xml:space="preserve">1,4%, проти 20 – 1,0% у 2017 році. </w:t>
      </w:r>
    </w:p>
    <w:p w:rsidR="00D448C6" w:rsidRPr="00D448C6" w:rsidRDefault="00D448C6" w:rsidP="00D448C6">
      <w:pPr>
        <w:ind w:firstLine="708"/>
        <w:jc w:val="both"/>
        <w:rPr>
          <w:sz w:val="28"/>
          <w:szCs w:val="28"/>
        </w:rPr>
      </w:pPr>
      <w:r w:rsidRPr="00D448C6">
        <w:rPr>
          <w:sz w:val="28"/>
          <w:szCs w:val="28"/>
          <w:lang w:val="uk-UA"/>
        </w:rPr>
        <w:t>У</w:t>
      </w:r>
      <w:r w:rsidRPr="00D448C6">
        <w:rPr>
          <w:sz w:val="28"/>
          <w:szCs w:val="28"/>
        </w:rPr>
        <w:t xml:space="preserve"> відділенні акушерської патології за 2018 рік проліковано 1 213 жінок проти </w:t>
      </w:r>
      <w:r w:rsidRPr="00D448C6">
        <w:rPr>
          <w:sz w:val="28"/>
          <w:szCs w:val="28"/>
          <w:lang w:val="uk-UA"/>
        </w:rPr>
        <w:t xml:space="preserve">      </w:t>
      </w:r>
      <w:r w:rsidRPr="00D448C6">
        <w:rPr>
          <w:sz w:val="28"/>
          <w:szCs w:val="28"/>
        </w:rPr>
        <w:t xml:space="preserve">1 121 жінок, що на 92 більше (8,2%) з наступною патологію: загроза передчасних пологів 145 жінок проти 142, багатовіддя 319 жінок проти 336, екстрагенітальна патологія 197 проти 184, пізні гестози 196 проти 185, прееклампсії вагітних 72 проти 66. На дородову підготовку поступило 939 вагітних, що складає 77,4 % проти 854- 76,2%. </w:t>
      </w:r>
    </w:p>
    <w:p w:rsidR="00D448C6" w:rsidRPr="00D448C6" w:rsidRDefault="00D448C6" w:rsidP="00D448C6">
      <w:pPr>
        <w:ind w:firstLine="567"/>
        <w:jc w:val="both"/>
        <w:rPr>
          <w:sz w:val="28"/>
          <w:szCs w:val="28"/>
        </w:rPr>
      </w:pPr>
      <w:r w:rsidRPr="00D448C6">
        <w:rPr>
          <w:sz w:val="28"/>
          <w:szCs w:val="28"/>
          <w:lang w:val="uk-UA"/>
        </w:rPr>
        <w:t>У в</w:t>
      </w:r>
      <w:r w:rsidRPr="00D448C6">
        <w:rPr>
          <w:sz w:val="28"/>
          <w:szCs w:val="28"/>
        </w:rPr>
        <w:t>ідділенн</w:t>
      </w:r>
      <w:r w:rsidRPr="00D448C6">
        <w:rPr>
          <w:sz w:val="28"/>
          <w:szCs w:val="28"/>
          <w:lang w:val="uk-UA"/>
        </w:rPr>
        <w:t>і</w:t>
      </w:r>
      <w:r w:rsidRPr="00D448C6">
        <w:rPr>
          <w:sz w:val="28"/>
          <w:szCs w:val="28"/>
        </w:rPr>
        <w:t xml:space="preserve"> акушерської патології з невиношування вагітності </w:t>
      </w:r>
      <w:r w:rsidRPr="00D448C6">
        <w:rPr>
          <w:sz w:val="28"/>
          <w:szCs w:val="28"/>
          <w:lang w:val="uk-UA"/>
        </w:rPr>
        <w:t xml:space="preserve">у </w:t>
      </w:r>
      <w:r w:rsidRPr="00D448C6">
        <w:rPr>
          <w:sz w:val="28"/>
          <w:szCs w:val="28"/>
        </w:rPr>
        <w:t>2018 р</w:t>
      </w:r>
      <w:r w:rsidRPr="00D448C6">
        <w:rPr>
          <w:sz w:val="28"/>
          <w:szCs w:val="28"/>
          <w:lang w:val="uk-UA"/>
        </w:rPr>
        <w:t>оці</w:t>
      </w:r>
      <w:r w:rsidRPr="00D448C6">
        <w:rPr>
          <w:sz w:val="28"/>
          <w:szCs w:val="28"/>
        </w:rPr>
        <w:t xml:space="preserve"> проліковано 555 проти 645 жінок, що на 90 менше (14,0%) з них: загроза раннього мимовільного викидня 100 проти 88, загроза пізнього мимовільного викидня 201 проти 279, загроза передчасних пологів 102 проти 161, істміко-цервікальна недостатність 62 проти 86 у минулому році. Накладено швів на шийку матки при ІЦН – 14 проти 7 у </w:t>
      </w:r>
      <w:r w:rsidRPr="00D448C6">
        <w:rPr>
          <w:sz w:val="28"/>
          <w:szCs w:val="28"/>
          <w:lang w:val="uk-UA"/>
        </w:rPr>
        <w:t>2017</w:t>
      </w:r>
      <w:r w:rsidRPr="00D448C6">
        <w:rPr>
          <w:sz w:val="28"/>
          <w:szCs w:val="28"/>
        </w:rPr>
        <w:t xml:space="preserve"> році.</w:t>
      </w:r>
    </w:p>
    <w:p w:rsidR="00D448C6" w:rsidRPr="00D448C6" w:rsidRDefault="00D448C6" w:rsidP="00D448C6">
      <w:pPr>
        <w:ind w:firstLine="567"/>
        <w:jc w:val="both"/>
        <w:rPr>
          <w:sz w:val="28"/>
          <w:szCs w:val="28"/>
        </w:rPr>
      </w:pPr>
      <w:r w:rsidRPr="00D448C6">
        <w:rPr>
          <w:sz w:val="28"/>
          <w:szCs w:val="28"/>
        </w:rPr>
        <w:t xml:space="preserve">Акушерське відділення №1 та №2 </w:t>
      </w:r>
      <w:r w:rsidRPr="00D448C6">
        <w:rPr>
          <w:sz w:val="28"/>
          <w:szCs w:val="28"/>
          <w:lang w:val="uk-UA"/>
        </w:rPr>
        <w:t xml:space="preserve"> - з</w:t>
      </w:r>
      <w:r w:rsidRPr="00D448C6">
        <w:rPr>
          <w:sz w:val="28"/>
          <w:szCs w:val="28"/>
        </w:rPr>
        <w:t xml:space="preserve">а 2018 рік було </w:t>
      </w:r>
      <w:r w:rsidRPr="00D448C6">
        <w:rPr>
          <w:sz w:val="28"/>
          <w:szCs w:val="28"/>
          <w:lang w:val="uk-UA"/>
        </w:rPr>
        <w:t xml:space="preserve">проведено  </w:t>
      </w:r>
      <w:r w:rsidRPr="00D448C6">
        <w:rPr>
          <w:sz w:val="28"/>
          <w:szCs w:val="28"/>
        </w:rPr>
        <w:t xml:space="preserve">2 операції накладання щипців, що складає 0,1%  проти 10 - 0,5% у </w:t>
      </w:r>
      <w:r w:rsidRPr="00D448C6">
        <w:rPr>
          <w:sz w:val="28"/>
          <w:szCs w:val="28"/>
          <w:lang w:val="uk-UA"/>
        </w:rPr>
        <w:t>2017</w:t>
      </w:r>
      <w:r w:rsidRPr="00D448C6">
        <w:rPr>
          <w:sz w:val="28"/>
          <w:szCs w:val="28"/>
        </w:rPr>
        <w:t xml:space="preserve"> році, вакуум екстракція плода – 142 - 6,3% проти 107 - 5,1% від усіх пологів, ручне видалення посліду – 11-0,5% проти 14 - 0,7%  від усіх пологів, ручна ревізія порожнини матки – 26 - 1,2% проти 30-1,4% від усіх пологів.</w:t>
      </w:r>
    </w:p>
    <w:p w:rsidR="00D448C6" w:rsidRPr="00D448C6" w:rsidRDefault="00D448C6" w:rsidP="00D448C6">
      <w:pPr>
        <w:ind w:firstLine="567"/>
        <w:jc w:val="both"/>
        <w:rPr>
          <w:sz w:val="28"/>
          <w:szCs w:val="28"/>
        </w:rPr>
      </w:pPr>
      <w:r w:rsidRPr="00D448C6">
        <w:rPr>
          <w:sz w:val="28"/>
          <w:szCs w:val="28"/>
        </w:rPr>
        <w:t>Народилось двійнят – 30</w:t>
      </w:r>
      <w:r w:rsidRPr="00D448C6">
        <w:rPr>
          <w:sz w:val="28"/>
          <w:szCs w:val="28"/>
          <w:lang w:val="uk-UA"/>
        </w:rPr>
        <w:t xml:space="preserve"> (15 пар)</w:t>
      </w:r>
      <w:r w:rsidRPr="00D448C6">
        <w:rPr>
          <w:sz w:val="28"/>
          <w:szCs w:val="28"/>
        </w:rPr>
        <w:t xml:space="preserve"> - 1,3%  проти  16-0,8% </w:t>
      </w:r>
      <w:r w:rsidRPr="00D448C6">
        <w:rPr>
          <w:sz w:val="28"/>
          <w:szCs w:val="28"/>
          <w:lang w:val="uk-UA"/>
        </w:rPr>
        <w:t xml:space="preserve"> </w:t>
      </w:r>
      <w:r w:rsidRPr="00D448C6">
        <w:rPr>
          <w:sz w:val="28"/>
          <w:szCs w:val="28"/>
        </w:rPr>
        <w:t xml:space="preserve">у </w:t>
      </w:r>
      <w:r w:rsidRPr="00D448C6">
        <w:rPr>
          <w:sz w:val="28"/>
          <w:szCs w:val="28"/>
          <w:lang w:val="uk-UA"/>
        </w:rPr>
        <w:t>2017</w:t>
      </w:r>
      <w:r w:rsidRPr="00D448C6">
        <w:rPr>
          <w:sz w:val="28"/>
          <w:szCs w:val="28"/>
        </w:rPr>
        <w:t xml:space="preserve"> році. </w:t>
      </w:r>
    </w:p>
    <w:p w:rsidR="00D448C6" w:rsidRPr="00D448C6" w:rsidRDefault="00D448C6" w:rsidP="00D448C6">
      <w:pPr>
        <w:ind w:firstLine="567"/>
        <w:jc w:val="both"/>
        <w:rPr>
          <w:sz w:val="28"/>
          <w:szCs w:val="28"/>
        </w:rPr>
      </w:pPr>
      <w:r w:rsidRPr="00D448C6">
        <w:rPr>
          <w:sz w:val="28"/>
          <w:szCs w:val="28"/>
        </w:rPr>
        <w:t>З рубцем на матці родило через природні родові шляхи 2-0,1% – проти 3-0,1%.</w:t>
      </w:r>
    </w:p>
    <w:p w:rsidR="00D448C6" w:rsidRPr="00D448C6" w:rsidRDefault="00D448C6" w:rsidP="00D448C6">
      <w:pPr>
        <w:ind w:firstLine="567"/>
        <w:jc w:val="both"/>
        <w:rPr>
          <w:sz w:val="28"/>
          <w:szCs w:val="28"/>
        </w:rPr>
      </w:pPr>
      <w:r w:rsidRPr="00D448C6">
        <w:rPr>
          <w:sz w:val="28"/>
          <w:szCs w:val="28"/>
        </w:rPr>
        <w:t>Прийнято пологів у тазовому передляганні – 2 - 0,1% проти 1 - 0,05%.</w:t>
      </w:r>
    </w:p>
    <w:p w:rsidR="00D448C6" w:rsidRPr="00D448C6" w:rsidRDefault="00D448C6" w:rsidP="00D448C6">
      <w:pPr>
        <w:ind w:firstLine="567"/>
        <w:jc w:val="both"/>
        <w:rPr>
          <w:sz w:val="28"/>
          <w:szCs w:val="28"/>
        </w:rPr>
      </w:pPr>
      <w:r w:rsidRPr="00D448C6">
        <w:rPr>
          <w:sz w:val="28"/>
          <w:szCs w:val="28"/>
        </w:rPr>
        <w:lastRenderedPageBreak/>
        <w:t>Пологовий травматизм матерів не змінився і складає у 2018 р.  26 випадків  проти 26 випадків у 2017 році, що складає 1,2%  проти 1,2%.</w:t>
      </w:r>
    </w:p>
    <w:p w:rsidR="00D448C6" w:rsidRPr="00D448C6" w:rsidRDefault="00D448C6" w:rsidP="00D448C6">
      <w:pPr>
        <w:ind w:firstLine="567"/>
        <w:jc w:val="both"/>
        <w:rPr>
          <w:sz w:val="28"/>
          <w:szCs w:val="28"/>
        </w:rPr>
      </w:pPr>
      <w:r w:rsidRPr="00D448C6">
        <w:rPr>
          <w:sz w:val="28"/>
          <w:szCs w:val="28"/>
        </w:rPr>
        <w:t xml:space="preserve">За 2018 рік було проведено 509 операцій кесарського розтину, що складає 22,7%, проти 506 операцій 24,0% за 2017 рік </w:t>
      </w:r>
    </w:p>
    <w:p w:rsidR="00D448C6" w:rsidRPr="00D448C6" w:rsidRDefault="00D448C6" w:rsidP="00D448C6">
      <w:pPr>
        <w:ind w:firstLine="567"/>
        <w:jc w:val="both"/>
        <w:rPr>
          <w:sz w:val="28"/>
          <w:szCs w:val="28"/>
          <w:lang w:val="uk-UA"/>
        </w:rPr>
      </w:pPr>
      <w:r w:rsidRPr="00D448C6">
        <w:rPr>
          <w:sz w:val="28"/>
          <w:szCs w:val="28"/>
          <w:lang w:val="uk-UA"/>
        </w:rPr>
        <w:t>У 2018 році проведено</w:t>
      </w:r>
      <w:r w:rsidRPr="00D448C6">
        <w:rPr>
          <w:sz w:val="28"/>
          <w:szCs w:val="28"/>
        </w:rPr>
        <w:t xml:space="preserve"> планових операцій – 75,0% та ургентних операцій – 25,0%.</w:t>
      </w:r>
      <w:r w:rsidRPr="00D448C6">
        <w:rPr>
          <w:sz w:val="28"/>
          <w:szCs w:val="28"/>
          <w:lang w:val="uk-UA"/>
        </w:rPr>
        <w:t xml:space="preserve"> </w:t>
      </w:r>
      <w:r w:rsidRPr="00D448C6">
        <w:rPr>
          <w:sz w:val="28"/>
          <w:szCs w:val="28"/>
        </w:rPr>
        <w:t>Операції здійснені</w:t>
      </w:r>
      <w:r w:rsidRPr="00D448C6">
        <w:rPr>
          <w:sz w:val="28"/>
          <w:szCs w:val="28"/>
          <w:lang w:val="uk-UA"/>
        </w:rPr>
        <w:t xml:space="preserve">  за</w:t>
      </w:r>
      <w:r w:rsidRPr="00D448C6">
        <w:rPr>
          <w:sz w:val="28"/>
          <w:szCs w:val="28"/>
        </w:rPr>
        <w:t xml:space="preserve"> показанням</w:t>
      </w:r>
      <w:r w:rsidRPr="00D448C6">
        <w:rPr>
          <w:sz w:val="28"/>
          <w:szCs w:val="28"/>
          <w:lang w:val="uk-UA"/>
        </w:rPr>
        <w:t>и :</w:t>
      </w:r>
      <w:r w:rsidRPr="00D448C6">
        <w:rPr>
          <w:sz w:val="28"/>
          <w:szCs w:val="28"/>
        </w:rPr>
        <w:t xml:space="preserve"> </w:t>
      </w:r>
      <w:r w:rsidRPr="00D448C6">
        <w:rPr>
          <w:sz w:val="28"/>
          <w:szCs w:val="28"/>
          <w:lang w:val="uk-UA"/>
        </w:rPr>
        <w:t xml:space="preserve">- </w:t>
      </w:r>
      <w:r w:rsidRPr="00D448C6">
        <w:rPr>
          <w:sz w:val="28"/>
          <w:szCs w:val="28"/>
        </w:rPr>
        <w:t>неповноцінний рубець на матці – 25,6% проти 25,8%;</w:t>
      </w:r>
      <w:r w:rsidRPr="00D448C6">
        <w:rPr>
          <w:sz w:val="28"/>
          <w:szCs w:val="28"/>
          <w:lang w:val="uk-UA"/>
        </w:rPr>
        <w:t xml:space="preserve"> </w:t>
      </w:r>
      <w:r w:rsidRPr="00D448C6">
        <w:rPr>
          <w:sz w:val="28"/>
          <w:szCs w:val="28"/>
        </w:rPr>
        <w:t xml:space="preserve"> - дистрес плода – 13,1% проти 13,0%;</w:t>
      </w:r>
      <w:r w:rsidRPr="00D448C6">
        <w:rPr>
          <w:sz w:val="28"/>
          <w:szCs w:val="28"/>
          <w:lang w:val="uk-UA"/>
        </w:rPr>
        <w:t xml:space="preserve"> </w:t>
      </w:r>
      <w:r w:rsidRPr="00D448C6">
        <w:rPr>
          <w:sz w:val="28"/>
          <w:szCs w:val="28"/>
        </w:rPr>
        <w:t>- слабкість пологової діяльності, родостимуляція без ефекту – 8,0% проти 6,2%;</w:t>
      </w:r>
      <w:r w:rsidRPr="00D448C6">
        <w:rPr>
          <w:sz w:val="28"/>
          <w:szCs w:val="28"/>
          <w:lang w:val="uk-UA"/>
        </w:rPr>
        <w:t xml:space="preserve"> </w:t>
      </w:r>
      <w:r w:rsidRPr="00D448C6">
        <w:rPr>
          <w:sz w:val="28"/>
          <w:szCs w:val="28"/>
        </w:rPr>
        <w:t xml:space="preserve"> - сідничне передлягання – 7,3% проти 7,4%.</w:t>
      </w:r>
      <w:r w:rsidRPr="00D448C6">
        <w:rPr>
          <w:sz w:val="28"/>
          <w:szCs w:val="28"/>
          <w:lang w:val="uk-UA"/>
        </w:rPr>
        <w:t xml:space="preserve"> </w:t>
      </w:r>
    </w:p>
    <w:p w:rsidR="00D448C6" w:rsidRPr="00D448C6" w:rsidRDefault="00D448C6" w:rsidP="00D448C6">
      <w:pPr>
        <w:jc w:val="both"/>
        <w:rPr>
          <w:sz w:val="28"/>
          <w:szCs w:val="28"/>
          <w:lang w:val="uk-UA"/>
        </w:rPr>
      </w:pPr>
      <w:r w:rsidRPr="00D448C6">
        <w:rPr>
          <w:sz w:val="28"/>
          <w:szCs w:val="28"/>
        </w:rPr>
        <w:tab/>
      </w:r>
      <w:r w:rsidRPr="00D448C6">
        <w:rPr>
          <w:sz w:val="28"/>
          <w:szCs w:val="28"/>
          <w:lang w:val="uk-UA"/>
        </w:rPr>
        <w:t>Питома вага кесарських розтинів в КНП МКПЦ та ОПЦ:</w:t>
      </w:r>
    </w:p>
    <w:tbl>
      <w:tblPr>
        <w:tblW w:w="9574"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9"/>
        <w:gridCol w:w="3687"/>
        <w:gridCol w:w="1417"/>
        <w:gridCol w:w="1561"/>
        <w:gridCol w:w="1870"/>
      </w:tblGrid>
      <w:tr w:rsidR="00D448C6" w:rsidRPr="00D448C6" w:rsidTr="0073607A">
        <w:trPr>
          <w:trHeight w:val="341"/>
        </w:trPr>
        <w:tc>
          <w:tcPr>
            <w:tcW w:w="1039" w:type="dxa"/>
            <w:vMerge w:val="restart"/>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w:t>
            </w:r>
          </w:p>
          <w:p w:rsidR="00D448C6" w:rsidRPr="00D448C6" w:rsidRDefault="00D448C6" w:rsidP="0073607A">
            <w:pPr>
              <w:jc w:val="both"/>
            </w:pPr>
            <w:r w:rsidRPr="00D448C6">
              <w:t>п/п</w:t>
            </w:r>
          </w:p>
        </w:tc>
        <w:tc>
          <w:tcPr>
            <w:tcW w:w="3687" w:type="dxa"/>
            <w:vMerge w:val="restart"/>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Індикатор</w:t>
            </w:r>
          </w:p>
        </w:tc>
        <w:tc>
          <w:tcPr>
            <w:tcW w:w="1417" w:type="dxa"/>
            <w:tcBorders>
              <w:top w:val="single" w:sz="4" w:space="0" w:color="auto"/>
              <w:left w:val="single" w:sz="4" w:space="0" w:color="auto"/>
              <w:bottom w:val="nil"/>
              <w:right w:val="single" w:sz="4" w:space="0" w:color="auto"/>
            </w:tcBorders>
          </w:tcPr>
          <w:p w:rsidR="00D448C6" w:rsidRPr="00D448C6" w:rsidRDefault="00D448C6" w:rsidP="0073607A">
            <w:pPr>
              <w:jc w:val="both"/>
            </w:pPr>
            <w:r w:rsidRPr="00D448C6">
              <w:t>2018 р.</w:t>
            </w:r>
          </w:p>
        </w:tc>
        <w:tc>
          <w:tcPr>
            <w:tcW w:w="1561" w:type="dxa"/>
            <w:tcBorders>
              <w:top w:val="single" w:sz="4" w:space="0" w:color="auto"/>
              <w:left w:val="single" w:sz="4" w:space="0" w:color="auto"/>
              <w:bottom w:val="nil"/>
              <w:right w:val="single" w:sz="4" w:space="0" w:color="auto"/>
            </w:tcBorders>
          </w:tcPr>
          <w:p w:rsidR="00D448C6" w:rsidRPr="00D448C6" w:rsidRDefault="00D448C6" w:rsidP="0073607A">
            <w:pPr>
              <w:jc w:val="both"/>
            </w:pPr>
            <w:r w:rsidRPr="00D448C6">
              <w:t>2017 р.</w:t>
            </w:r>
          </w:p>
        </w:tc>
        <w:tc>
          <w:tcPr>
            <w:tcW w:w="1870" w:type="dxa"/>
            <w:tcBorders>
              <w:top w:val="single" w:sz="4" w:space="0" w:color="auto"/>
              <w:left w:val="single" w:sz="4" w:space="0" w:color="auto"/>
              <w:bottom w:val="nil"/>
              <w:right w:val="single" w:sz="4" w:space="0" w:color="auto"/>
            </w:tcBorders>
            <w:vAlign w:val="center"/>
          </w:tcPr>
          <w:p w:rsidR="00D448C6" w:rsidRPr="00D448C6" w:rsidRDefault="00D448C6" w:rsidP="0073607A">
            <w:pPr>
              <w:jc w:val="both"/>
            </w:pPr>
            <w:r w:rsidRPr="00D448C6">
              <w:t>Нормативне значення</w:t>
            </w:r>
          </w:p>
        </w:tc>
      </w:tr>
      <w:tr w:rsidR="00D448C6" w:rsidRPr="00D448C6" w:rsidTr="0073607A">
        <w:trPr>
          <w:trHeight w:val="50"/>
        </w:trPr>
        <w:tc>
          <w:tcPr>
            <w:tcW w:w="1039" w:type="dxa"/>
            <w:vMerge/>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p>
        </w:tc>
        <w:tc>
          <w:tcPr>
            <w:tcW w:w="3687" w:type="dxa"/>
            <w:vMerge/>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p>
        </w:tc>
        <w:tc>
          <w:tcPr>
            <w:tcW w:w="1417" w:type="dxa"/>
            <w:tcBorders>
              <w:top w:val="nil"/>
              <w:left w:val="single" w:sz="4" w:space="0" w:color="auto"/>
              <w:bottom w:val="single" w:sz="4" w:space="0" w:color="auto"/>
              <w:right w:val="single" w:sz="4" w:space="0" w:color="auto"/>
            </w:tcBorders>
            <w:vAlign w:val="center"/>
          </w:tcPr>
          <w:p w:rsidR="00D448C6" w:rsidRPr="00D448C6" w:rsidRDefault="00D448C6" w:rsidP="0073607A">
            <w:pPr>
              <w:jc w:val="both"/>
            </w:pPr>
          </w:p>
        </w:tc>
        <w:tc>
          <w:tcPr>
            <w:tcW w:w="1561" w:type="dxa"/>
            <w:tcBorders>
              <w:top w:val="nil"/>
              <w:left w:val="single" w:sz="4" w:space="0" w:color="auto"/>
              <w:bottom w:val="single" w:sz="4" w:space="0" w:color="auto"/>
              <w:right w:val="single" w:sz="4" w:space="0" w:color="auto"/>
            </w:tcBorders>
            <w:vAlign w:val="center"/>
          </w:tcPr>
          <w:p w:rsidR="00D448C6" w:rsidRPr="00D448C6" w:rsidRDefault="00D448C6" w:rsidP="0073607A">
            <w:pPr>
              <w:jc w:val="both"/>
            </w:pPr>
          </w:p>
        </w:tc>
        <w:tc>
          <w:tcPr>
            <w:tcW w:w="1870" w:type="dxa"/>
            <w:tcBorders>
              <w:top w:val="nil"/>
              <w:left w:val="single" w:sz="4" w:space="0" w:color="auto"/>
              <w:bottom w:val="single" w:sz="4" w:space="0" w:color="auto"/>
              <w:right w:val="single" w:sz="4" w:space="0" w:color="auto"/>
            </w:tcBorders>
            <w:vAlign w:val="center"/>
          </w:tcPr>
          <w:p w:rsidR="00D448C6" w:rsidRPr="00D448C6" w:rsidRDefault="00D448C6" w:rsidP="0073607A">
            <w:pPr>
              <w:jc w:val="both"/>
            </w:pPr>
          </w:p>
        </w:tc>
      </w:tr>
      <w:tr w:rsidR="00D448C6" w:rsidRPr="00D448C6" w:rsidTr="0073607A">
        <w:tc>
          <w:tcPr>
            <w:tcW w:w="103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w:t>
            </w:r>
          </w:p>
        </w:tc>
        <w:tc>
          <w:tcPr>
            <w:tcW w:w="368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Питома вага КР в МКПЦ</w:t>
            </w:r>
          </w:p>
        </w:tc>
        <w:tc>
          <w:tcPr>
            <w:tcW w:w="141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509-22,7</w:t>
            </w:r>
          </w:p>
        </w:tc>
        <w:tc>
          <w:tcPr>
            <w:tcW w:w="1561"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506-24,0</w:t>
            </w:r>
          </w:p>
        </w:tc>
        <w:tc>
          <w:tcPr>
            <w:tcW w:w="1870"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10,0 – 15,0%</w:t>
            </w:r>
          </w:p>
        </w:tc>
      </w:tr>
      <w:tr w:rsidR="00D448C6" w:rsidRPr="00D448C6" w:rsidTr="0073607A">
        <w:tc>
          <w:tcPr>
            <w:tcW w:w="103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2.</w:t>
            </w:r>
          </w:p>
        </w:tc>
        <w:tc>
          <w:tcPr>
            <w:tcW w:w="368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Питома вага КР в ОПЦ</w:t>
            </w:r>
          </w:p>
        </w:tc>
        <w:tc>
          <w:tcPr>
            <w:tcW w:w="141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1135-38,4</w:t>
            </w:r>
          </w:p>
        </w:tc>
        <w:tc>
          <w:tcPr>
            <w:tcW w:w="1561"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1140-35,7</w:t>
            </w:r>
          </w:p>
        </w:tc>
        <w:tc>
          <w:tcPr>
            <w:tcW w:w="1870"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15,0 - 25,0%</w:t>
            </w:r>
          </w:p>
        </w:tc>
      </w:tr>
    </w:tbl>
    <w:p w:rsidR="00D448C6" w:rsidRPr="00D448C6" w:rsidRDefault="00D448C6" w:rsidP="00D448C6">
      <w:pPr>
        <w:ind w:firstLine="708"/>
        <w:jc w:val="both"/>
        <w:rPr>
          <w:sz w:val="28"/>
          <w:szCs w:val="28"/>
        </w:rPr>
      </w:pPr>
      <w:r w:rsidRPr="00D448C6">
        <w:rPr>
          <w:sz w:val="28"/>
          <w:szCs w:val="28"/>
        </w:rPr>
        <w:t xml:space="preserve">Післяпологове відділення. За 2018 рік з післяпологового відділення виписано </w:t>
      </w:r>
      <w:r w:rsidRPr="00D448C6">
        <w:rPr>
          <w:sz w:val="28"/>
          <w:szCs w:val="28"/>
          <w:lang w:val="uk-UA"/>
        </w:rPr>
        <w:t xml:space="preserve">               </w:t>
      </w:r>
      <w:r w:rsidRPr="00D448C6">
        <w:rPr>
          <w:sz w:val="28"/>
          <w:szCs w:val="28"/>
        </w:rPr>
        <w:t>1 479 жінок проти 1 434, що на 45 більше. У відділенні сумісне перебування матері та дитини становить 100,0%. Відділення функціонує циклічно. Показники дещо знизились за рахунок зниження кількості пологів по закладу.</w:t>
      </w:r>
    </w:p>
    <w:p w:rsidR="00D448C6" w:rsidRPr="00D448C6" w:rsidRDefault="00D448C6" w:rsidP="00D448C6">
      <w:pPr>
        <w:ind w:firstLine="708"/>
        <w:jc w:val="both"/>
        <w:rPr>
          <w:sz w:val="28"/>
          <w:szCs w:val="28"/>
        </w:rPr>
      </w:pPr>
      <w:r w:rsidRPr="00D448C6">
        <w:rPr>
          <w:sz w:val="28"/>
          <w:szCs w:val="28"/>
        </w:rPr>
        <w:t xml:space="preserve">З післяпологового відділення в акушерське відділення №2 було переведено 4 породіллі проти 5 у 2017 році </w:t>
      </w:r>
      <w:r w:rsidRPr="00D448C6">
        <w:rPr>
          <w:sz w:val="28"/>
          <w:szCs w:val="28"/>
          <w:lang w:val="uk-UA"/>
        </w:rPr>
        <w:t>(п</w:t>
      </w:r>
      <w:r w:rsidRPr="00D448C6">
        <w:rPr>
          <w:sz w:val="28"/>
          <w:szCs w:val="28"/>
        </w:rPr>
        <w:t>овне розходження швів на промежині - 1 проти 1</w:t>
      </w:r>
      <w:r w:rsidRPr="00D448C6">
        <w:rPr>
          <w:sz w:val="28"/>
          <w:szCs w:val="28"/>
          <w:lang w:val="uk-UA"/>
        </w:rPr>
        <w:t>, ч</w:t>
      </w:r>
      <w:r w:rsidRPr="00D448C6">
        <w:rPr>
          <w:sz w:val="28"/>
          <w:szCs w:val="28"/>
        </w:rPr>
        <w:t>асткове розходження швів на промежині - 1 проти 2</w:t>
      </w:r>
      <w:r w:rsidRPr="00D448C6">
        <w:rPr>
          <w:sz w:val="28"/>
          <w:szCs w:val="28"/>
          <w:lang w:val="uk-UA"/>
        </w:rPr>
        <w:t>, р</w:t>
      </w:r>
      <w:r w:rsidRPr="00D448C6">
        <w:rPr>
          <w:sz w:val="28"/>
          <w:szCs w:val="28"/>
        </w:rPr>
        <w:t>озходження лонного зчленування- 1 проти 2, ГРВІ- 1 проти 0</w:t>
      </w:r>
      <w:r w:rsidRPr="00D448C6">
        <w:rPr>
          <w:sz w:val="28"/>
          <w:szCs w:val="28"/>
          <w:lang w:val="uk-UA"/>
        </w:rPr>
        <w:t>)</w:t>
      </w:r>
      <w:r w:rsidRPr="00D448C6">
        <w:rPr>
          <w:sz w:val="28"/>
          <w:szCs w:val="28"/>
        </w:rPr>
        <w:t>.</w:t>
      </w:r>
    </w:p>
    <w:p w:rsidR="00D448C6" w:rsidRPr="00D448C6" w:rsidRDefault="00D448C6" w:rsidP="00D448C6">
      <w:pPr>
        <w:ind w:firstLine="708"/>
        <w:jc w:val="both"/>
        <w:rPr>
          <w:sz w:val="28"/>
          <w:szCs w:val="28"/>
        </w:rPr>
      </w:pPr>
      <w:r w:rsidRPr="00D448C6">
        <w:rPr>
          <w:sz w:val="28"/>
          <w:szCs w:val="28"/>
        </w:rPr>
        <w:t>Неонатологія. В закладі народилось 2273 дітей проти 2119, що більше на 154 дітей (7,3%) порівняно з 2017 роком</w:t>
      </w:r>
      <w:r w:rsidRPr="00D448C6">
        <w:rPr>
          <w:sz w:val="28"/>
          <w:szCs w:val="28"/>
          <w:lang w:val="uk-UA"/>
        </w:rPr>
        <w:t>, з</w:t>
      </w:r>
      <w:r w:rsidRPr="00D448C6">
        <w:rPr>
          <w:sz w:val="28"/>
          <w:szCs w:val="28"/>
        </w:rPr>
        <w:t xml:space="preserve"> них живими – 2265, проти 2112, що на 153 більше, ніж у 2017 році. Міських дітей народилося – 1385, проти 1363 у 2017 році, що на 22 дітей більше</w:t>
      </w:r>
      <w:r w:rsidRPr="00D448C6">
        <w:rPr>
          <w:sz w:val="28"/>
          <w:szCs w:val="28"/>
          <w:lang w:val="uk-UA"/>
        </w:rPr>
        <w:t>, с</w:t>
      </w:r>
      <w:r w:rsidRPr="00D448C6">
        <w:rPr>
          <w:sz w:val="28"/>
          <w:szCs w:val="28"/>
        </w:rPr>
        <w:t>ільських – 880</w:t>
      </w:r>
      <w:r w:rsidRPr="00D448C6">
        <w:rPr>
          <w:sz w:val="28"/>
          <w:szCs w:val="28"/>
          <w:lang w:val="uk-UA"/>
        </w:rPr>
        <w:t xml:space="preserve"> дітей</w:t>
      </w:r>
      <w:r w:rsidRPr="00D448C6">
        <w:rPr>
          <w:sz w:val="28"/>
          <w:szCs w:val="28"/>
        </w:rPr>
        <w:t xml:space="preserve"> проти 749, що на 131 дитину більше. </w:t>
      </w:r>
    </w:p>
    <w:p w:rsidR="00D448C6" w:rsidRPr="00D448C6" w:rsidRDefault="00D448C6" w:rsidP="00D448C6">
      <w:pPr>
        <w:ind w:firstLine="708"/>
        <w:jc w:val="both"/>
        <w:rPr>
          <w:sz w:val="28"/>
          <w:szCs w:val="28"/>
        </w:rPr>
      </w:pPr>
      <w:r w:rsidRPr="00D448C6">
        <w:rPr>
          <w:sz w:val="28"/>
          <w:szCs w:val="28"/>
        </w:rPr>
        <w:t>Передчасних пологів за 2018 рік – 31</w:t>
      </w:r>
      <w:r w:rsidRPr="00D448C6">
        <w:rPr>
          <w:sz w:val="28"/>
          <w:szCs w:val="28"/>
          <w:lang w:val="uk-UA"/>
        </w:rPr>
        <w:t xml:space="preserve"> </w:t>
      </w:r>
      <w:r w:rsidRPr="00D448C6">
        <w:rPr>
          <w:sz w:val="28"/>
          <w:szCs w:val="28"/>
        </w:rPr>
        <w:t>-</w:t>
      </w:r>
      <w:r w:rsidRPr="00D448C6">
        <w:rPr>
          <w:sz w:val="28"/>
          <w:szCs w:val="28"/>
          <w:lang w:val="uk-UA"/>
        </w:rPr>
        <w:t xml:space="preserve"> </w:t>
      </w:r>
      <w:r w:rsidRPr="00D448C6">
        <w:rPr>
          <w:sz w:val="28"/>
          <w:szCs w:val="28"/>
        </w:rPr>
        <w:t>1,4,0% проти 20</w:t>
      </w:r>
      <w:r w:rsidRPr="00D448C6">
        <w:rPr>
          <w:sz w:val="28"/>
          <w:szCs w:val="28"/>
          <w:lang w:val="uk-UA"/>
        </w:rPr>
        <w:t xml:space="preserve"> </w:t>
      </w:r>
      <w:r w:rsidRPr="00D448C6">
        <w:rPr>
          <w:sz w:val="28"/>
          <w:szCs w:val="28"/>
        </w:rPr>
        <w:t>-</w:t>
      </w:r>
      <w:r w:rsidRPr="00D448C6">
        <w:rPr>
          <w:sz w:val="28"/>
          <w:szCs w:val="28"/>
          <w:lang w:val="uk-UA"/>
        </w:rPr>
        <w:t xml:space="preserve"> </w:t>
      </w:r>
      <w:r w:rsidRPr="00D448C6">
        <w:rPr>
          <w:sz w:val="28"/>
          <w:szCs w:val="28"/>
        </w:rPr>
        <w:t xml:space="preserve">1,0%. </w:t>
      </w:r>
    </w:p>
    <w:p w:rsidR="00D448C6" w:rsidRPr="00D448C6" w:rsidRDefault="00D448C6" w:rsidP="00D448C6">
      <w:pPr>
        <w:ind w:firstLine="708"/>
        <w:jc w:val="both"/>
        <w:rPr>
          <w:sz w:val="28"/>
          <w:szCs w:val="28"/>
        </w:rPr>
      </w:pPr>
      <w:r w:rsidRPr="00D448C6">
        <w:rPr>
          <w:sz w:val="28"/>
          <w:szCs w:val="28"/>
        </w:rPr>
        <w:t>Недоношених дітей народилося – 31 проти  20.</w:t>
      </w:r>
    </w:p>
    <w:p w:rsidR="00D448C6" w:rsidRPr="00D448C6" w:rsidRDefault="00D448C6" w:rsidP="00D448C6">
      <w:pPr>
        <w:ind w:firstLine="708"/>
        <w:jc w:val="both"/>
        <w:rPr>
          <w:sz w:val="28"/>
          <w:szCs w:val="28"/>
        </w:rPr>
      </w:pPr>
      <w:r w:rsidRPr="00D448C6">
        <w:rPr>
          <w:sz w:val="28"/>
          <w:szCs w:val="28"/>
        </w:rPr>
        <w:t xml:space="preserve">Проліковано у </w:t>
      </w:r>
      <w:r w:rsidRPr="00D448C6">
        <w:rPr>
          <w:sz w:val="28"/>
          <w:szCs w:val="28"/>
          <w:lang w:val="uk-UA"/>
        </w:rPr>
        <w:t xml:space="preserve">палаті </w:t>
      </w:r>
      <w:r w:rsidRPr="00D448C6">
        <w:rPr>
          <w:sz w:val="28"/>
          <w:szCs w:val="28"/>
        </w:rPr>
        <w:t>інтенсивн</w:t>
      </w:r>
      <w:r w:rsidRPr="00D448C6">
        <w:rPr>
          <w:sz w:val="28"/>
          <w:szCs w:val="28"/>
          <w:lang w:val="uk-UA"/>
        </w:rPr>
        <w:t>ої</w:t>
      </w:r>
      <w:r w:rsidRPr="00D448C6">
        <w:rPr>
          <w:sz w:val="28"/>
          <w:szCs w:val="28"/>
        </w:rPr>
        <w:t xml:space="preserve"> терапії  новонароджених дітей 91 проти 94 у </w:t>
      </w:r>
      <w:r w:rsidRPr="00D448C6">
        <w:rPr>
          <w:sz w:val="28"/>
          <w:szCs w:val="28"/>
          <w:lang w:val="uk-UA"/>
        </w:rPr>
        <w:t>2017</w:t>
      </w:r>
      <w:r w:rsidRPr="00D448C6">
        <w:rPr>
          <w:sz w:val="28"/>
          <w:szCs w:val="28"/>
        </w:rPr>
        <w:t xml:space="preserve"> році. В ОДКЛ за 2018 рік переведено 43 дітей проти 48 в минулому році, з них у відділення реанімації новонароджених – 13 проти 14.</w:t>
      </w:r>
    </w:p>
    <w:p w:rsidR="00D448C6" w:rsidRPr="00D448C6" w:rsidRDefault="00D448C6" w:rsidP="00D448C6">
      <w:pPr>
        <w:ind w:firstLine="708"/>
        <w:jc w:val="both"/>
        <w:rPr>
          <w:sz w:val="28"/>
          <w:szCs w:val="28"/>
        </w:rPr>
      </w:pPr>
      <w:r w:rsidRPr="00D448C6">
        <w:rPr>
          <w:sz w:val="28"/>
          <w:szCs w:val="28"/>
        </w:rPr>
        <w:t>За 2018 рік померло 2 дитини в ранньому неонатальному періоді. Померлі діти з сільської місцевості (1 дитина - ВВР та 1 дитина - крайня ступінь незрілості). Пізньої неонатальної смертності – не було.</w:t>
      </w:r>
    </w:p>
    <w:p w:rsidR="00D448C6" w:rsidRPr="00D448C6" w:rsidRDefault="00D448C6" w:rsidP="00D448C6">
      <w:pPr>
        <w:ind w:firstLine="708"/>
        <w:jc w:val="both"/>
        <w:rPr>
          <w:sz w:val="28"/>
          <w:szCs w:val="28"/>
        </w:rPr>
      </w:pPr>
      <w:r w:rsidRPr="00D448C6">
        <w:rPr>
          <w:sz w:val="28"/>
          <w:szCs w:val="28"/>
        </w:rPr>
        <w:t xml:space="preserve">Родовий травматизм новонароджених у 2018 р.-39 -1,7 % проти 14 - 0.6%. </w:t>
      </w:r>
    </w:p>
    <w:p w:rsidR="00D448C6" w:rsidRPr="00D448C6" w:rsidRDefault="00D448C6" w:rsidP="00D448C6">
      <w:pPr>
        <w:ind w:firstLine="708"/>
        <w:jc w:val="both"/>
        <w:rPr>
          <w:sz w:val="28"/>
          <w:szCs w:val="28"/>
        </w:rPr>
      </w:pPr>
      <w:r w:rsidRPr="00D448C6">
        <w:rPr>
          <w:sz w:val="28"/>
          <w:szCs w:val="28"/>
        </w:rPr>
        <w:t xml:space="preserve">Захворювання виявлено у 313 дітей проти 250 у 2017 році. Загальна захворюваність становить 138,2 ‰ проти 118,0‰ в 2017 році. </w:t>
      </w:r>
    </w:p>
    <w:p w:rsidR="00D448C6" w:rsidRPr="00D448C6" w:rsidRDefault="00D448C6" w:rsidP="00D448C6">
      <w:pPr>
        <w:ind w:firstLine="708"/>
        <w:jc w:val="both"/>
        <w:rPr>
          <w:sz w:val="28"/>
          <w:szCs w:val="28"/>
        </w:rPr>
      </w:pPr>
      <w:r w:rsidRPr="00D448C6">
        <w:rPr>
          <w:sz w:val="28"/>
          <w:szCs w:val="28"/>
        </w:rPr>
        <w:t>В структурі захворюваності на першому місці знаходяться перинатальні стани. Вони становлять 226 випадків (100,0‰). Основну частину займають неонатальні жовтяниці, ураження ЦНС, дихальні розлади та перехідні стани в неонатальному періоді.</w:t>
      </w:r>
      <w:r w:rsidRPr="00D448C6">
        <w:rPr>
          <w:sz w:val="28"/>
          <w:szCs w:val="28"/>
          <w:lang w:val="uk-UA"/>
        </w:rPr>
        <w:t xml:space="preserve"> </w:t>
      </w:r>
      <w:r w:rsidRPr="00D448C6">
        <w:rPr>
          <w:sz w:val="28"/>
          <w:szCs w:val="28"/>
        </w:rPr>
        <w:t>Друге місце займають природжені вади розвитку. Вони становлять 100 випадки – 44,0‰.</w:t>
      </w:r>
      <w:r w:rsidRPr="00D448C6">
        <w:rPr>
          <w:sz w:val="28"/>
          <w:szCs w:val="28"/>
          <w:lang w:val="uk-UA"/>
        </w:rPr>
        <w:t xml:space="preserve"> </w:t>
      </w:r>
      <w:r w:rsidRPr="00D448C6">
        <w:rPr>
          <w:sz w:val="28"/>
          <w:szCs w:val="28"/>
        </w:rPr>
        <w:t>На третьому місці знаходяться пологові травми - 39 випадків, становлять в структурі захворюваності 17,0 ‰.</w:t>
      </w:r>
    </w:p>
    <w:tbl>
      <w:tblPr>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3287"/>
        <w:gridCol w:w="1775"/>
        <w:gridCol w:w="1775"/>
        <w:gridCol w:w="2148"/>
      </w:tblGrid>
      <w:tr w:rsidR="00D448C6" w:rsidRPr="00D448C6" w:rsidTr="0073607A">
        <w:trPr>
          <w:trHeight w:val="692"/>
        </w:trPr>
        <w:tc>
          <w:tcPr>
            <w:tcW w:w="98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lastRenderedPageBreak/>
              <w:t>№ п/п</w:t>
            </w:r>
          </w:p>
        </w:tc>
        <w:tc>
          <w:tcPr>
            <w:tcW w:w="328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Індикатор</w:t>
            </w:r>
          </w:p>
        </w:tc>
        <w:tc>
          <w:tcPr>
            <w:tcW w:w="1775" w:type="dxa"/>
            <w:tcBorders>
              <w:top w:val="single" w:sz="4" w:space="0" w:color="auto"/>
              <w:left w:val="single" w:sz="4" w:space="0" w:color="auto"/>
              <w:right w:val="single" w:sz="4" w:space="0" w:color="auto"/>
            </w:tcBorders>
          </w:tcPr>
          <w:p w:rsidR="00D448C6" w:rsidRPr="00D448C6" w:rsidRDefault="00D448C6" w:rsidP="0073607A">
            <w:pPr>
              <w:jc w:val="both"/>
            </w:pPr>
            <w:r w:rsidRPr="00D448C6">
              <w:t>2018 р.</w:t>
            </w:r>
          </w:p>
        </w:tc>
        <w:tc>
          <w:tcPr>
            <w:tcW w:w="1775" w:type="dxa"/>
            <w:tcBorders>
              <w:top w:val="single" w:sz="4" w:space="0" w:color="auto"/>
              <w:left w:val="single" w:sz="4" w:space="0" w:color="auto"/>
              <w:right w:val="single" w:sz="4" w:space="0" w:color="auto"/>
            </w:tcBorders>
          </w:tcPr>
          <w:p w:rsidR="00D448C6" w:rsidRPr="00D448C6" w:rsidRDefault="00D448C6" w:rsidP="0073607A">
            <w:pPr>
              <w:jc w:val="both"/>
            </w:pPr>
            <w:r w:rsidRPr="00D448C6">
              <w:t>2017 р.</w:t>
            </w:r>
          </w:p>
        </w:tc>
        <w:tc>
          <w:tcPr>
            <w:tcW w:w="2148" w:type="dxa"/>
            <w:tcBorders>
              <w:top w:val="single" w:sz="4" w:space="0" w:color="auto"/>
              <w:left w:val="single" w:sz="4" w:space="0" w:color="auto"/>
              <w:right w:val="single" w:sz="4" w:space="0" w:color="auto"/>
            </w:tcBorders>
            <w:vAlign w:val="center"/>
          </w:tcPr>
          <w:p w:rsidR="00D448C6" w:rsidRPr="00D448C6" w:rsidRDefault="00D448C6" w:rsidP="0073607A">
            <w:pPr>
              <w:jc w:val="both"/>
            </w:pPr>
            <w:r w:rsidRPr="00D448C6">
              <w:t>Нормативне значення</w:t>
            </w:r>
          </w:p>
        </w:tc>
      </w:tr>
      <w:tr w:rsidR="00D448C6" w:rsidRPr="00D448C6" w:rsidTr="0073607A">
        <w:tc>
          <w:tcPr>
            <w:tcW w:w="98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w:t>
            </w:r>
          </w:p>
        </w:tc>
        <w:tc>
          <w:tcPr>
            <w:tcW w:w="328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Питома вага хворих новонароджених</w:t>
            </w:r>
          </w:p>
        </w:tc>
        <w:tc>
          <w:tcPr>
            <w:tcW w:w="1775"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313 - 138,2</w:t>
            </w:r>
          </w:p>
        </w:tc>
        <w:tc>
          <w:tcPr>
            <w:tcW w:w="1775"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250 – 118,0</w:t>
            </w:r>
          </w:p>
        </w:tc>
        <w:tc>
          <w:tcPr>
            <w:tcW w:w="21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130,0‰ і менше</w:t>
            </w:r>
          </w:p>
        </w:tc>
      </w:tr>
    </w:tbl>
    <w:p w:rsidR="00D448C6" w:rsidRPr="00D448C6" w:rsidRDefault="00D448C6" w:rsidP="00D448C6">
      <w:pPr>
        <w:ind w:firstLine="708"/>
        <w:jc w:val="both"/>
        <w:rPr>
          <w:sz w:val="28"/>
          <w:szCs w:val="28"/>
        </w:rPr>
      </w:pPr>
      <w:r w:rsidRPr="00D448C6">
        <w:rPr>
          <w:sz w:val="28"/>
          <w:szCs w:val="28"/>
        </w:rPr>
        <w:t>Перинатальна смертність. Перинатальна смертність складає 10 - 4,4‰ проти 7 – 3.3‰ у минулому році, 2 випадки - рання неонатальна смертність та 8 дітей мертвонароджені (антенатальна смерть плода).</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847"/>
        <w:gridCol w:w="1446"/>
        <w:gridCol w:w="1276"/>
        <w:gridCol w:w="1559"/>
        <w:gridCol w:w="776"/>
      </w:tblGrid>
      <w:tr w:rsidR="00D448C6" w:rsidRPr="00D448C6" w:rsidTr="0073607A">
        <w:trPr>
          <w:gridAfter w:val="1"/>
          <w:wAfter w:w="776" w:type="dxa"/>
          <w:trHeight w:val="692"/>
        </w:trPr>
        <w:tc>
          <w:tcPr>
            <w:tcW w:w="6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 п/п</w:t>
            </w:r>
          </w:p>
        </w:tc>
        <w:tc>
          <w:tcPr>
            <w:tcW w:w="484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Індикатор</w:t>
            </w:r>
          </w:p>
        </w:tc>
        <w:tc>
          <w:tcPr>
            <w:tcW w:w="1446" w:type="dxa"/>
            <w:tcBorders>
              <w:top w:val="single" w:sz="4" w:space="0" w:color="auto"/>
              <w:left w:val="single" w:sz="4" w:space="0" w:color="auto"/>
              <w:right w:val="single" w:sz="4" w:space="0" w:color="auto"/>
            </w:tcBorders>
          </w:tcPr>
          <w:p w:rsidR="00D448C6" w:rsidRPr="00D448C6" w:rsidRDefault="00D448C6" w:rsidP="0073607A">
            <w:pPr>
              <w:jc w:val="both"/>
            </w:pPr>
            <w:r w:rsidRPr="00D448C6">
              <w:t>2018 р.</w:t>
            </w:r>
          </w:p>
        </w:tc>
        <w:tc>
          <w:tcPr>
            <w:tcW w:w="1276" w:type="dxa"/>
            <w:tcBorders>
              <w:top w:val="single" w:sz="4" w:space="0" w:color="auto"/>
              <w:left w:val="single" w:sz="4" w:space="0" w:color="auto"/>
              <w:right w:val="single" w:sz="4" w:space="0" w:color="auto"/>
            </w:tcBorders>
          </w:tcPr>
          <w:p w:rsidR="00D448C6" w:rsidRPr="00D448C6" w:rsidRDefault="00D448C6" w:rsidP="0073607A">
            <w:pPr>
              <w:jc w:val="both"/>
            </w:pPr>
            <w:r w:rsidRPr="00D448C6">
              <w:t>2017 р.</w:t>
            </w:r>
          </w:p>
        </w:tc>
        <w:tc>
          <w:tcPr>
            <w:tcW w:w="1559" w:type="dxa"/>
            <w:tcBorders>
              <w:top w:val="single" w:sz="4" w:space="0" w:color="auto"/>
              <w:left w:val="single" w:sz="4" w:space="0" w:color="auto"/>
              <w:right w:val="single" w:sz="4" w:space="0" w:color="auto"/>
            </w:tcBorders>
            <w:vAlign w:val="center"/>
          </w:tcPr>
          <w:p w:rsidR="00D448C6" w:rsidRPr="00D448C6" w:rsidRDefault="00D448C6" w:rsidP="0073607A">
            <w:pPr>
              <w:jc w:val="both"/>
            </w:pPr>
            <w:r w:rsidRPr="00D448C6">
              <w:t>Норматив</w:t>
            </w:r>
          </w:p>
        </w:tc>
      </w:tr>
      <w:tr w:rsidR="00D448C6" w:rsidRPr="00D448C6" w:rsidTr="0073607A">
        <w:trPr>
          <w:gridAfter w:val="1"/>
          <w:wAfter w:w="776" w:type="dxa"/>
        </w:trPr>
        <w:tc>
          <w:tcPr>
            <w:tcW w:w="6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w:t>
            </w:r>
          </w:p>
        </w:tc>
        <w:tc>
          <w:tcPr>
            <w:tcW w:w="484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Рівень перинатальної смертності (‰)</w:t>
            </w:r>
          </w:p>
        </w:tc>
        <w:tc>
          <w:tcPr>
            <w:tcW w:w="144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10 - 4,4</w:t>
            </w:r>
          </w:p>
        </w:tc>
        <w:tc>
          <w:tcPr>
            <w:tcW w:w="127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7 - 3,3</w:t>
            </w:r>
          </w:p>
        </w:tc>
        <w:tc>
          <w:tcPr>
            <w:tcW w:w="155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6,0 і менше</w:t>
            </w:r>
          </w:p>
        </w:tc>
      </w:tr>
      <w:tr w:rsidR="00D448C6" w:rsidRPr="00D448C6" w:rsidTr="0073607A">
        <w:trPr>
          <w:gridAfter w:val="1"/>
          <w:wAfter w:w="776" w:type="dxa"/>
        </w:trPr>
        <w:tc>
          <w:tcPr>
            <w:tcW w:w="6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2</w:t>
            </w:r>
          </w:p>
        </w:tc>
        <w:tc>
          <w:tcPr>
            <w:tcW w:w="484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Мертвонароджуваність (‰)</w:t>
            </w:r>
          </w:p>
        </w:tc>
        <w:tc>
          <w:tcPr>
            <w:tcW w:w="144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8 - 3,5</w:t>
            </w:r>
          </w:p>
        </w:tc>
        <w:tc>
          <w:tcPr>
            <w:tcW w:w="127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7 - 3,3</w:t>
            </w:r>
          </w:p>
        </w:tc>
        <w:tc>
          <w:tcPr>
            <w:tcW w:w="155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3,0 і менше</w:t>
            </w:r>
          </w:p>
        </w:tc>
      </w:tr>
      <w:tr w:rsidR="00D448C6" w:rsidRPr="00D448C6" w:rsidTr="0073607A">
        <w:trPr>
          <w:gridAfter w:val="1"/>
          <w:wAfter w:w="776" w:type="dxa"/>
        </w:trPr>
        <w:tc>
          <w:tcPr>
            <w:tcW w:w="6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3</w:t>
            </w:r>
          </w:p>
        </w:tc>
        <w:tc>
          <w:tcPr>
            <w:tcW w:w="484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Питома вага інтранатальної загибелі плода (‰)</w:t>
            </w:r>
          </w:p>
        </w:tc>
        <w:tc>
          <w:tcPr>
            <w:tcW w:w="144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w:t>
            </w:r>
          </w:p>
        </w:tc>
        <w:tc>
          <w:tcPr>
            <w:tcW w:w="127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w:t>
            </w:r>
          </w:p>
        </w:tc>
        <w:tc>
          <w:tcPr>
            <w:tcW w:w="155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0,5–0,8</w:t>
            </w:r>
          </w:p>
        </w:tc>
      </w:tr>
      <w:tr w:rsidR="00D448C6" w:rsidRPr="00D448C6" w:rsidTr="0073607A">
        <w:tc>
          <w:tcPr>
            <w:tcW w:w="648"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4</w:t>
            </w:r>
          </w:p>
        </w:tc>
        <w:tc>
          <w:tcPr>
            <w:tcW w:w="4847"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Рання неонатальна смертність (‰)</w:t>
            </w:r>
          </w:p>
        </w:tc>
        <w:tc>
          <w:tcPr>
            <w:tcW w:w="144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2 - 0,9</w:t>
            </w:r>
          </w:p>
        </w:tc>
        <w:tc>
          <w:tcPr>
            <w:tcW w:w="1276"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w:t>
            </w:r>
          </w:p>
        </w:tc>
        <w:tc>
          <w:tcPr>
            <w:tcW w:w="1559" w:type="dxa"/>
            <w:tcBorders>
              <w:top w:val="single" w:sz="4" w:space="0" w:color="auto"/>
              <w:left w:val="single" w:sz="4" w:space="0" w:color="auto"/>
              <w:bottom w:val="single" w:sz="4" w:space="0" w:color="auto"/>
              <w:right w:val="single" w:sz="4" w:space="0" w:color="auto"/>
            </w:tcBorders>
            <w:vAlign w:val="center"/>
          </w:tcPr>
          <w:p w:rsidR="00D448C6" w:rsidRPr="00D448C6" w:rsidRDefault="00D448C6" w:rsidP="0073607A">
            <w:pPr>
              <w:jc w:val="both"/>
            </w:pPr>
            <w:r w:rsidRPr="00D448C6">
              <w:t>3,0 і менше</w:t>
            </w:r>
          </w:p>
        </w:tc>
        <w:tc>
          <w:tcPr>
            <w:tcW w:w="776" w:type="dxa"/>
            <w:tcBorders>
              <w:top w:val="nil"/>
              <w:left w:val="single" w:sz="4" w:space="0" w:color="auto"/>
              <w:bottom w:val="nil"/>
              <w:right w:val="single" w:sz="4" w:space="0" w:color="auto"/>
            </w:tcBorders>
            <w:vAlign w:val="center"/>
          </w:tcPr>
          <w:p w:rsidR="00D448C6" w:rsidRPr="00D448C6" w:rsidRDefault="00D448C6" w:rsidP="0073607A">
            <w:pPr>
              <w:jc w:val="both"/>
              <w:rPr>
                <w:sz w:val="28"/>
                <w:szCs w:val="28"/>
              </w:rPr>
            </w:pPr>
          </w:p>
        </w:tc>
      </w:tr>
    </w:tbl>
    <w:p w:rsidR="00D448C6" w:rsidRPr="00D448C6" w:rsidRDefault="00D448C6" w:rsidP="00D448C6">
      <w:pPr>
        <w:ind w:firstLine="426"/>
        <w:jc w:val="both"/>
        <w:rPr>
          <w:sz w:val="28"/>
          <w:szCs w:val="28"/>
        </w:rPr>
      </w:pPr>
      <w:r w:rsidRPr="00D448C6">
        <w:rPr>
          <w:sz w:val="28"/>
          <w:szCs w:val="28"/>
        </w:rPr>
        <w:t xml:space="preserve"> Вакцинація БЦЖ</w:t>
      </w:r>
      <w:r w:rsidRPr="00D448C6">
        <w:rPr>
          <w:sz w:val="28"/>
          <w:szCs w:val="28"/>
          <w:lang w:val="uk-UA"/>
        </w:rPr>
        <w:t xml:space="preserve"> проти туберкульозу</w:t>
      </w:r>
      <w:r w:rsidRPr="00D448C6">
        <w:rPr>
          <w:sz w:val="28"/>
          <w:szCs w:val="28"/>
        </w:rPr>
        <w:t xml:space="preserve"> за 2018 р. </w:t>
      </w:r>
      <w:r w:rsidRPr="00D448C6">
        <w:rPr>
          <w:sz w:val="28"/>
          <w:szCs w:val="28"/>
          <w:lang w:val="uk-UA"/>
        </w:rPr>
        <w:t>проведена</w:t>
      </w:r>
      <w:r w:rsidRPr="00D448C6">
        <w:rPr>
          <w:sz w:val="28"/>
          <w:szCs w:val="28"/>
        </w:rPr>
        <w:t xml:space="preserve"> 2020</w:t>
      </w:r>
      <w:r w:rsidRPr="00D448C6">
        <w:rPr>
          <w:sz w:val="28"/>
          <w:szCs w:val="28"/>
          <w:lang w:val="uk-UA"/>
        </w:rPr>
        <w:t xml:space="preserve"> дітям</w:t>
      </w:r>
      <w:r w:rsidRPr="00D448C6">
        <w:rPr>
          <w:sz w:val="28"/>
          <w:szCs w:val="28"/>
        </w:rPr>
        <w:t xml:space="preserve"> - 90,8% проти 1644</w:t>
      </w:r>
      <w:r w:rsidRPr="00D448C6">
        <w:rPr>
          <w:sz w:val="28"/>
          <w:szCs w:val="28"/>
          <w:lang w:val="uk-UA"/>
        </w:rPr>
        <w:t xml:space="preserve"> у 2017 році</w:t>
      </w:r>
      <w:r w:rsidRPr="00D448C6">
        <w:rPr>
          <w:sz w:val="28"/>
          <w:szCs w:val="28"/>
        </w:rPr>
        <w:t xml:space="preserve"> - 77,8%. </w:t>
      </w:r>
    </w:p>
    <w:p w:rsidR="00D448C6" w:rsidRPr="00D448C6" w:rsidRDefault="00D448C6" w:rsidP="00D448C6">
      <w:pPr>
        <w:ind w:firstLine="426"/>
        <w:jc w:val="both"/>
        <w:rPr>
          <w:sz w:val="28"/>
          <w:szCs w:val="28"/>
        </w:rPr>
      </w:pPr>
      <w:r w:rsidRPr="00D448C6">
        <w:rPr>
          <w:sz w:val="28"/>
          <w:szCs w:val="28"/>
        </w:rPr>
        <w:t xml:space="preserve">Проведення вакцинації проти гепатиту В </w:t>
      </w:r>
      <w:r w:rsidRPr="00D448C6">
        <w:rPr>
          <w:sz w:val="28"/>
          <w:szCs w:val="28"/>
          <w:lang w:val="uk-UA"/>
        </w:rPr>
        <w:t xml:space="preserve">здійснено </w:t>
      </w:r>
      <w:r w:rsidRPr="00D448C6">
        <w:rPr>
          <w:sz w:val="28"/>
          <w:szCs w:val="28"/>
        </w:rPr>
        <w:t xml:space="preserve"> 1716</w:t>
      </w:r>
      <w:r w:rsidRPr="00D448C6">
        <w:rPr>
          <w:sz w:val="28"/>
          <w:szCs w:val="28"/>
          <w:lang w:val="uk-UA"/>
        </w:rPr>
        <w:t xml:space="preserve"> дітям</w:t>
      </w:r>
      <w:r w:rsidRPr="00D448C6">
        <w:rPr>
          <w:sz w:val="28"/>
          <w:szCs w:val="28"/>
        </w:rPr>
        <w:t xml:space="preserve"> - 77,1% проти 71,0% </w:t>
      </w:r>
      <w:r w:rsidRPr="00D448C6">
        <w:rPr>
          <w:sz w:val="28"/>
          <w:szCs w:val="28"/>
          <w:lang w:val="uk-UA"/>
        </w:rPr>
        <w:t>у 2017</w:t>
      </w:r>
      <w:r w:rsidRPr="00D448C6">
        <w:rPr>
          <w:sz w:val="28"/>
          <w:szCs w:val="28"/>
        </w:rPr>
        <w:t xml:space="preserve"> році. </w:t>
      </w:r>
    </w:p>
    <w:p w:rsidR="00D448C6" w:rsidRPr="00D448C6" w:rsidRDefault="00D448C6" w:rsidP="00D448C6">
      <w:pPr>
        <w:ind w:firstLine="426"/>
        <w:jc w:val="both"/>
        <w:rPr>
          <w:sz w:val="28"/>
          <w:szCs w:val="28"/>
        </w:rPr>
      </w:pPr>
      <w:r w:rsidRPr="00D448C6">
        <w:rPr>
          <w:sz w:val="28"/>
          <w:szCs w:val="28"/>
        </w:rPr>
        <w:t>Проведено проби</w:t>
      </w:r>
      <w:r w:rsidRPr="00D448C6">
        <w:rPr>
          <w:sz w:val="28"/>
          <w:szCs w:val="28"/>
          <w:lang w:val="uk-UA"/>
        </w:rPr>
        <w:t xml:space="preserve"> на фенілкетонурію (</w:t>
      </w:r>
      <w:r w:rsidRPr="00D448C6">
        <w:rPr>
          <w:sz w:val="28"/>
          <w:szCs w:val="28"/>
        </w:rPr>
        <w:t>ФКУ</w:t>
      </w:r>
      <w:r w:rsidRPr="00D448C6">
        <w:rPr>
          <w:sz w:val="28"/>
          <w:szCs w:val="28"/>
          <w:lang w:val="uk-UA"/>
        </w:rPr>
        <w:t>)</w:t>
      </w:r>
      <w:r w:rsidRPr="00D448C6">
        <w:rPr>
          <w:sz w:val="28"/>
          <w:szCs w:val="28"/>
        </w:rPr>
        <w:t>, гіпотиреоз 2216</w:t>
      </w:r>
      <w:r w:rsidRPr="00D448C6">
        <w:rPr>
          <w:sz w:val="28"/>
          <w:szCs w:val="28"/>
          <w:lang w:val="uk-UA"/>
        </w:rPr>
        <w:t xml:space="preserve"> дітям</w:t>
      </w:r>
      <w:r w:rsidRPr="00D448C6">
        <w:rPr>
          <w:sz w:val="28"/>
          <w:szCs w:val="28"/>
        </w:rPr>
        <w:t xml:space="preserve"> - 99,0% проти 2105 - 99,0%</w:t>
      </w:r>
      <w:r w:rsidRPr="00D448C6">
        <w:rPr>
          <w:sz w:val="28"/>
          <w:szCs w:val="28"/>
          <w:lang w:val="uk-UA"/>
        </w:rPr>
        <w:t xml:space="preserve"> у 2017 році</w:t>
      </w:r>
      <w:r w:rsidRPr="00D448C6">
        <w:rPr>
          <w:sz w:val="28"/>
          <w:szCs w:val="28"/>
        </w:rPr>
        <w:t>.</w:t>
      </w:r>
    </w:p>
    <w:p w:rsidR="00D448C6" w:rsidRPr="00D448C6" w:rsidRDefault="00D448C6" w:rsidP="00D448C6">
      <w:pPr>
        <w:ind w:firstLine="426"/>
        <w:jc w:val="both"/>
        <w:rPr>
          <w:sz w:val="28"/>
          <w:szCs w:val="28"/>
          <w:u w:val="single"/>
        </w:rPr>
      </w:pPr>
      <w:r w:rsidRPr="00D448C6">
        <w:rPr>
          <w:sz w:val="28"/>
          <w:szCs w:val="28"/>
        </w:rPr>
        <w:t xml:space="preserve">Гінекологічна допомога. В гінекологічному стаціонарі </w:t>
      </w:r>
      <w:r w:rsidRPr="00D448C6">
        <w:rPr>
          <w:sz w:val="28"/>
          <w:szCs w:val="28"/>
          <w:lang w:val="uk-UA"/>
        </w:rPr>
        <w:t xml:space="preserve">КНП </w:t>
      </w:r>
      <w:r w:rsidRPr="00D448C6">
        <w:rPr>
          <w:sz w:val="28"/>
          <w:szCs w:val="28"/>
        </w:rPr>
        <w:t>МКПЦ проліковано 3621 хворих проти 3573, що на 48 (1,3%) більше, ніж у  2017 році.</w:t>
      </w:r>
    </w:p>
    <w:p w:rsidR="00D448C6" w:rsidRPr="00D448C6" w:rsidRDefault="00D448C6" w:rsidP="00D448C6">
      <w:pPr>
        <w:ind w:firstLine="426"/>
        <w:jc w:val="both"/>
        <w:rPr>
          <w:sz w:val="28"/>
          <w:szCs w:val="28"/>
        </w:rPr>
      </w:pPr>
      <w:r w:rsidRPr="00D448C6">
        <w:rPr>
          <w:sz w:val="28"/>
          <w:szCs w:val="28"/>
        </w:rPr>
        <w:t xml:space="preserve">Середній ліжко - день складає 7,4 проти 7,8 (при нормативі І г/в - 8,0, і у ІІ г/в - 11,0). Відсоток виконання плану ліжко-днів дещо зменшився і складає 99,2% проти 102,2% </w:t>
      </w:r>
      <w:r w:rsidRPr="00D448C6">
        <w:rPr>
          <w:sz w:val="28"/>
          <w:szCs w:val="28"/>
          <w:lang w:val="uk-UA"/>
        </w:rPr>
        <w:t xml:space="preserve"> </w:t>
      </w:r>
      <w:r w:rsidRPr="00D448C6">
        <w:rPr>
          <w:sz w:val="28"/>
          <w:szCs w:val="28"/>
        </w:rPr>
        <w:t>у 2017</w:t>
      </w:r>
      <w:r w:rsidRPr="00D448C6">
        <w:rPr>
          <w:sz w:val="28"/>
          <w:szCs w:val="28"/>
          <w:lang w:val="uk-UA"/>
        </w:rPr>
        <w:t xml:space="preserve"> ро</w:t>
      </w:r>
      <w:r w:rsidRPr="00D448C6">
        <w:rPr>
          <w:sz w:val="28"/>
          <w:szCs w:val="28"/>
        </w:rPr>
        <w:t>ці. Відсоток планових госпіталізацій в стаціонар складає  65,1% проти 67,0% у 2017 році.</w:t>
      </w:r>
    </w:p>
    <w:p w:rsidR="00D448C6" w:rsidRPr="00D448C6" w:rsidRDefault="00D448C6" w:rsidP="00D448C6">
      <w:pPr>
        <w:ind w:left="426"/>
        <w:jc w:val="both"/>
        <w:rPr>
          <w:sz w:val="28"/>
          <w:szCs w:val="28"/>
        </w:rPr>
      </w:pPr>
      <w:r w:rsidRPr="00D448C6">
        <w:rPr>
          <w:sz w:val="28"/>
          <w:szCs w:val="28"/>
        </w:rPr>
        <w:t>Проведено великих операцій у 2018 році - 612, у 2017 році - 547, що на 65 більше. Хірургічна активність</w:t>
      </w:r>
      <w:r w:rsidRPr="00D448C6">
        <w:rPr>
          <w:sz w:val="28"/>
          <w:szCs w:val="28"/>
          <w:lang w:val="uk-UA"/>
        </w:rPr>
        <w:t xml:space="preserve"> в</w:t>
      </w:r>
      <w:r w:rsidRPr="00D448C6">
        <w:rPr>
          <w:sz w:val="28"/>
          <w:szCs w:val="28"/>
        </w:rPr>
        <w:t xml:space="preserve"> гінекологічному стаціонарі складає 77,2% проти 73,8%. </w:t>
      </w:r>
    </w:p>
    <w:p w:rsidR="00D448C6" w:rsidRPr="00D448C6" w:rsidRDefault="00D448C6" w:rsidP="00D448C6">
      <w:pPr>
        <w:ind w:left="426"/>
        <w:jc w:val="both"/>
        <w:rPr>
          <w:sz w:val="28"/>
          <w:szCs w:val="28"/>
        </w:rPr>
      </w:pPr>
      <w:r w:rsidRPr="00D448C6">
        <w:rPr>
          <w:sz w:val="28"/>
          <w:szCs w:val="28"/>
        </w:rPr>
        <w:t>В структурі проведено великих операцій</w:t>
      </w:r>
      <w:r w:rsidRPr="00D448C6">
        <w:rPr>
          <w:sz w:val="28"/>
          <w:szCs w:val="28"/>
          <w:lang w:val="uk-UA"/>
        </w:rPr>
        <w:t xml:space="preserve"> у 2018 році проти 2017 року</w:t>
      </w:r>
      <w:r w:rsidRPr="00D448C6">
        <w:rPr>
          <w:sz w:val="28"/>
          <w:szCs w:val="28"/>
        </w:rPr>
        <w:t>:</w:t>
      </w:r>
    </w:p>
    <w:p w:rsidR="00D448C6" w:rsidRPr="00D448C6" w:rsidRDefault="00D448C6" w:rsidP="00D448C6">
      <w:pPr>
        <w:ind w:firstLine="426"/>
        <w:jc w:val="both"/>
        <w:rPr>
          <w:sz w:val="28"/>
          <w:szCs w:val="28"/>
        </w:rPr>
      </w:pPr>
      <w:r w:rsidRPr="00D448C6">
        <w:rPr>
          <w:sz w:val="28"/>
          <w:szCs w:val="28"/>
        </w:rPr>
        <w:t xml:space="preserve">- </w:t>
      </w:r>
      <w:r w:rsidRPr="00D448C6">
        <w:rPr>
          <w:sz w:val="28"/>
          <w:szCs w:val="28"/>
          <w:lang w:val="uk-UA"/>
        </w:rPr>
        <w:t>н</w:t>
      </w:r>
      <w:r w:rsidRPr="00D448C6">
        <w:rPr>
          <w:sz w:val="28"/>
          <w:szCs w:val="28"/>
        </w:rPr>
        <w:t>адвагінальна ампутація матки - 22 проти 12.</w:t>
      </w:r>
    </w:p>
    <w:p w:rsidR="00D448C6" w:rsidRPr="00D448C6" w:rsidRDefault="00D448C6" w:rsidP="00D448C6">
      <w:pPr>
        <w:ind w:firstLine="426"/>
        <w:jc w:val="both"/>
        <w:rPr>
          <w:sz w:val="28"/>
          <w:szCs w:val="28"/>
        </w:rPr>
      </w:pPr>
      <w:r w:rsidRPr="00D448C6">
        <w:rPr>
          <w:sz w:val="28"/>
          <w:szCs w:val="28"/>
        </w:rPr>
        <w:t>- екстерпація матки - 220 проти 142.</w:t>
      </w:r>
    </w:p>
    <w:p w:rsidR="00D448C6" w:rsidRPr="00D448C6" w:rsidRDefault="00D448C6" w:rsidP="00D448C6">
      <w:pPr>
        <w:ind w:firstLine="426"/>
        <w:jc w:val="both"/>
        <w:rPr>
          <w:sz w:val="28"/>
          <w:szCs w:val="28"/>
        </w:rPr>
      </w:pPr>
      <w:r w:rsidRPr="00D448C6">
        <w:rPr>
          <w:sz w:val="28"/>
          <w:szCs w:val="28"/>
        </w:rPr>
        <w:t>- видалення кисти - 138 проти 170.</w:t>
      </w:r>
    </w:p>
    <w:p w:rsidR="00D448C6" w:rsidRPr="00D448C6" w:rsidRDefault="00D448C6" w:rsidP="00D448C6">
      <w:pPr>
        <w:ind w:firstLine="426"/>
        <w:jc w:val="both"/>
        <w:rPr>
          <w:sz w:val="28"/>
          <w:szCs w:val="28"/>
        </w:rPr>
      </w:pPr>
      <w:r w:rsidRPr="00D448C6">
        <w:rPr>
          <w:sz w:val="28"/>
          <w:szCs w:val="28"/>
        </w:rPr>
        <w:t>- тубектомії - 72 проти 64.</w:t>
      </w:r>
    </w:p>
    <w:p w:rsidR="00D448C6" w:rsidRPr="00D448C6" w:rsidRDefault="00D448C6" w:rsidP="00D448C6">
      <w:pPr>
        <w:ind w:firstLine="426"/>
        <w:jc w:val="both"/>
        <w:rPr>
          <w:sz w:val="28"/>
          <w:szCs w:val="28"/>
        </w:rPr>
      </w:pPr>
      <w:r w:rsidRPr="00D448C6">
        <w:rPr>
          <w:sz w:val="28"/>
          <w:szCs w:val="28"/>
        </w:rPr>
        <w:t>- аднексектомії - 38 проти 58.</w:t>
      </w:r>
    </w:p>
    <w:p w:rsidR="00D448C6" w:rsidRPr="00D448C6" w:rsidRDefault="00D448C6" w:rsidP="00D448C6">
      <w:pPr>
        <w:ind w:firstLine="426"/>
        <w:jc w:val="both"/>
        <w:rPr>
          <w:sz w:val="28"/>
          <w:szCs w:val="28"/>
        </w:rPr>
      </w:pPr>
      <w:r w:rsidRPr="00D448C6">
        <w:rPr>
          <w:sz w:val="28"/>
          <w:szCs w:val="28"/>
        </w:rPr>
        <w:t>- ннших операцій - 122 проти 90.</w:t>
      </w:r>
    </w:p>
    <w:p w:rsidR="00D448C6" w:rsidRPr="00D448C6" w:rsidRDefault="00D448C6" w:rsidP="00D448C6">
      <w:pPr>
        <w:ind w:firstLine="426"/>
        <w:jc w:val="both"/>
        <w:rPr>
          <w:sz w:val="28"/>
          <w:szCs w:val="28"/>
        </w:rPr>
      </w:pPr>
      <w:r w:rsidRPr="00D448C6">
        <w:rPr>
          <w:sz w:val="28"/>
          <w:szCs w:val="28"/>
        </w:rPr>
        <w:t xml:space="preserve">Ендоскопічні операції. Лапараскопічних операцій зроблено 271 проти 292 у минулому році, що на 21 менше. Лапароскопічні операції у 2018 році складають 44,3% проти 53,4%. </w:t>
      </w:r>
    </w:p>
    <w:p w:rsidR="00D448C6" w:rsidRPr="00D448C6" w:rsidRDefault="00D448C6" w:rsidP="00D448C6">
      <w:pPr>
        <w:ind w:firstLine="426"/>
        <w:jc w:val="both"/>
        <w:rPr>
          <w:sz w:val="28"/>
          <w:szCs w:val="28"/>
        </w:rPr>
      </w:pPr>
      <w:r w:rsidRPr="00D448C6">
        <w:rPr>
          <w:sz w:val="28"/>
          <w:szCs w:val="28"/>
        </w:rPr>
        <w:t>Малих гінекологічних операцій без абортів у 2018 році проведено 1879 проти 2089 операцій у 2017 році.</w:t>
      </w:r>
    </w:p>
    <w:p w:rsidR="00D448C6" w:rsidRPr="00D448C6" w:rsidRDefault="00D448C6" w:rsidP="00D448C6">
      <w:pPr>
        <w:ind w:firstLine="708"/>
        <w:jc w:val="both"/>
        <w:rPr>
          <w:sz w:val="28"/>
          <w:szCs w:val="28"/>
        </w:rPr>
      </w:pPr>
      <w:r w:rsidRPr="00D448C6">
        <w:rPr>
          <w:sz w:val="28"/>
          <w:szCs w:val="28"/>
        </w:rPr>
        <w:t>Кількість жінок, які перебували з мимовільними викиднями та завмерлою вагітністю, яким зроблено РДВ - 303 проти 292, що на 11 більше.</w:t>
      </w:r>
    </w:p>
    <w:p w:rsidR="00D448C6" w:rsidRPr="00D448C6" w:rsidRDefault="00D448C6" w:rsidP="00D448C6">
      <w:pPr>
        <w:ind w:firstLine="708"/>
        <w:jc w:val="both"/>
        <w:rPr>
          <w:sz w:val="28"/>
          <w:szCs w:val="28"/>
        </w:rPr>
      </w:pPr>
      <w:r w:rsidRPr="00D448C6">
        <w:rPr>
          <w:sz w:val="28"/>
          <w:szCs w:val="28"/>
        </w:rPr>
        <w:t>В 2018 році кількість  проведених гістероскопій значно збільшилась і складає 444 проти 341, що на 103 більше.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2552"/>
        <w:gridCol w:w="1871"/>
      </w:tblGrid>
      <w:tr w:rsidR="00D448C6" w:rsidRPr="00D448C6" w:rsidTr="0073607A">
        <w:trPr>
          <w:trHeight w:val="297"/>
        </w:trPr>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Показники роботи</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2018р.</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2017р.</w:t>
            </w:r>
          </w:p>
        </w:tc>
      </w:tr>
      <w:tr w:rsidR="00D448C6" w:rsidRPr="00D448C6" w:rsidTr="0073607A">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 xml:space="preserve">Проведено великих операцій </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612</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547</w:t>
            </w:r>
          </w:p>
        </w:tc>
      </w:tr>
      <w:tr w:rsidR="00D448C6" w:rsidRPr="00D448C6" w:rsidTr="0073607A">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lastRenderedPageBreak/>
              <w:t xml:space="preserve">з них лапароскопічних </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271</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292</w:t>
            </w:r>
          </w:p>
        </w:tc>
      </w:tr>
      <w:tr w:rsidR="00D448C6" w:rsidRPr="00D448C6" w:rsidTr="0073607A">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Проведено малих операцій (без абортів)</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1879</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2089</w:t>
            </w:r>
          </w:p>
        </w:tc>
      </w:tr>
      <w:tr w:rsidR="00D448C6" w:rsidRPr="00D448C6" w:rsidTr="0073607A">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з них гістероскопій</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444</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341</w:t>
            </w:r>
          </w:p>
        </w:tc>
      </w:tr>
      <w:tr w:rsidR="00D448C6" w:rsidRPr="00D448C6" w:rsidTr="0073607A">
        <w:tc>
          <w:tcPr>
            <w:tcW w:w="521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both"/>
            </w:pPr>
            <w:r w:rsidRPr="00D448C6">
              <w:t>Хірургічна активність(%)</w:t>
            </w:r>
          </w:p>
        </w:tc>
        <w:tc>
          <w:tcPr>
            <w:tcW w:w="2552"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77,2</w:t>
            </w:r>
          </w:p>
        </w:tc>
        <w:tc>
          <w:tcPr>
            <w:tcW w:w="1871" w:type="dxa"/>
            <w:tcBorders>
              <w:top w:val="single" w:sz="4" w:space="0" w:color="auto"/>
              <w:left w:val="single" w:sz="4" w:space="0" w:color="auto"/>
              <w:bottom w:val="single" w:sz="4" w:space="0" w:color="auto"/>
              <w:right w:val="single" w:sz="4" w:space="0" w:color="auto"/>
            </w:tcBorders>
          </w:tcPr>
          <w:p w:rsidR="00D448C6" w:rsidRPr="00D448C6" w:rsidRDefault="00D448C6" w:rsidP="0073607A">
            <w:pPr>
              <w:jc w:val="center"/>
            </w:pPr>
            <w:r w:rsidRPr="00D448C6">
              <w:t>73,8</w:t>
            </w:r>
          </w:p>
        </w:tc>
      </w:tr>
    </w:tbl>
    <w:p w:rsidR="00D448C6" w:rsidRPr="00D448C6" w:rsidRDefault="00D448C6" w:rsidP="00D448C6">
      <w:pPr>
        <w:ind w:firstLine="708"/>
        <w:jc w:val="both"/>
        <w:rPr>
          <w:sz w:val="28"/>
          <w:szCs w:val="28"/>
        </w:rPr>
      </w:pPr>
      <w:r w:rsidRPr="00D448C6">
        <w:rPr>
          <w:sz w:val="28"/>
          <w:szCs w:val="28"/>
        </w:rPr>
        <w:t>У гінекологічних відділеннях лікувалися з приводу:</w:t>
      </w:r>
    </w:p>
    <w:p w:rsidR="00D448C6" w:rsidRPr="00D448C6" w:rsidRDefault="00D448C6" w:rsidP="00D448C6">
      <w:pPr>
        <w:jc w:val="both"/>
        <w:rPr>
          <w:sz w:val="28"/>
          <w:szCs w:val="28"/>
        </w:rPr>
      </w:pPr>
      <w:r w:rsidRPr="00D448C6">
        <w:rPr>
          <w:sz w:val="28"/>
          <w:szCs w:val="28"/>
        </w:rPr>
        <w:t xml:space="preserve">- </w:t>
      </w:r>
      <w:r w:rsidRPr="00D448C6">
        <w:rPr>
          <w:sz w:val="28"/>
          <w:szCs w:val="28"/>
          <w:lang w:val="uk-UA"/>
        </w:rPr>
        <w:t>з</w:t>
      </w:r>
      <w:r w:rsidRPr="00D448C6">
        <w:rPr>
          <w:sz w:val="28"/>
          <w:szCs w:val="28"/>
        </w:rPr>
        <w:t xml:space="preserve">апальних процесів лікувалось 583 проти 357 </w:t>
      </w:r>
    </w:p>
    <w:p w:rsidR="00D448C6" w:rsidRPr="00D448C6" w:rsidRDefault="00D448C6" w:rsidP="00D448C6">
      <w:pPr>
        <w:jc w:val="both"/>
        <w:rPr>
          <w:sz w:val="28"/>
          <w:szCs w:val="28"/>
        </w:rPr>
      </w:pPr>
      <w:r w:rsidRPr="00D448C6">
        <w:rPr>
          <w:sz w:val="28"/>
          <w:szCs w:val="28"/>
        </w:rPr>
        <w:t>- новоутворів  569 проти 629, з них в злоякісній формі 91 проти 81.</w:t>
      </w:r>
    </w:p>
    <w:p w:rsidR="00D448C6" w:rsidRPr="00D448C6" w:rsidRDefault="00D448C6" w:rsidP="00D448C6">
      <w:pPr>
        <w:jc w:val="both"/>
        <w:rPr>
          <w:sz w:val="28"/>
          <w:szCs w:val="28"/>
        </w:rPr>
      </w:pPr>
      <w:r w:rsidRPr="00D448C6">
        <w:rPr>
          <w:sz w:val="28"/>
          <w:szCs w:val="28"/>
        </w:rPr>
        <w:t>- розладів ОМЦ 202 проти 199.</w:t>
      </w:r>
    </w:p>
    <w:p w:rsidR="00D448C6" w:rsidRPr="00D448C6" w:rsidRDefault="00D448C6" w:rsidP="00D448C6">
      <w:pPr>
        <w:jc w:val="both"/>
        <w:rPr>
          <w:sz w:val="28"/>
          <w:szCs w:val="28"/>
        </w:rPr>
      </w:pPr>
      <w:r w:rsidRPr="00D448C6">
        <w:rPr>
          <w:sz w:val="28"/>
          <w:szCs w:val="28"/>
        </w:rPr>
        <w:t>- зберігали вагітність 590 вагітних проти 471.</w:t>
      </w:r>
    </w:p>
    <w:p w:rsidR="00D448C6" w:rsidRPr="00D448C6" w:rsidRDefault="00D448C6" w:rsidP="00D448C6">
      <w:pPr>
        <w:jc w:val="both"/>
        <w:rPr>
          <w:sz w:val="28"/>
          <w:szCs w:val="28"/>
        </w:rPr>
      </w:pPr>
      <w:r w:rsidRPr="00D448C6">
        <w:rPr>
          <w:sz w:val="28"/>
          <w:szCs w:val="28"/>
        </w:rPr>
        <w:t>- ектопічна вагітність 58 проти 55</w:t>
      </w:r>
    </w:p>
    <w:p w:rsidR="00D448C6" w:rsidRPr="00D448C6" w:rsidRDefault="00D448C6" w:rsidP="00D448C6">
      <w:pPr>
        <w:rPr>
          <w:sz w:val="28"/>
          <w:szCs w:val="28"/>
        </w:rPr>
      </w:pPr>
      <w:r w:rsidRPr="00D448C6">
        <w:rPr>
          <w:sz w:val="28"/>
          <w:szCs w:val="28"/>
        </w:rPr>
        <w:t>- вишкрібання з приводу абортів (мимовільні викидні і завмерла вагітність) 303 проти 292.</w:t>
      </w:r>
    </w:p>
    <w:p w:rsidR="00D448C6" w:rsidRPr="00D448C6" w:rsidRDefault="00D448C6" w:rsidP="00D448C6">
      <w:pPr>
        <w:jc w:val="both"/>
        <w:rPr>
          <w:sz w:val="28"/>
          <w:szCs w:val="28"/>
        </w:rPr>
      </w:pPr>
      <w:r w:rsidRPr="00D448C6">
        <w:rPr>
          <w:sz w:val="28"/>
          <w:szCs w:val="28"/>
        </w:rPr>
        <w:t>- кисти – 446 проти 489.</w:t>
      </w:r>
    </w:p>
    <w:p w:rsidR="00D448C6" w:rsidRPr="00D448C6" w:rsidRDefault="00D448C6" w:rsidP="00D448C6">
      <w:pPr>
        <w:jc w:val="both"/>
        <w:rPr>
          <w:sz w:val="28"/>
          <w:szCs w:val="28"/>
        </w:rPr>
      </w:pPr>
      <w:r w:rsidRPr="00D448C6">
        <w:rPr>
          <w:sz w:val="28"/>
          <w:szCs w:val="28"/>
        </w:rPr>
        <w:t>- поліпи 487 проти 442.</w:t>
      </w:r>
    </w:p>
    <w:p w:rsidR="00D448C6" w:rsidRPr="00D448C6" w:rsidRDefault="00D448C6" w:rsidP="00D448C6">
      <w:pPr>
        <w:jc w:val="both"/>
        <w:rPr>
          <w:sz w:val="28"/>
          <w:szCs w:val="28"/>
        </w:rPr>
      </w:pPr>
      <w:r w:rsidRPr="00D448C6">
        <w:rPr>
          <w:sz w:val="28"/>
          <w:szCs w:val="28"/>
        </w:rPr>
        <w:t>- інші захворювання жіночих статевих органів (геніальний пролапс, дисплазії шийки матки) 611 проти 577.</w:t>
      </w:r>
    </w:p>
    <w:p w:rsidR="00D448C6" w:rsidRPr="00D448C6" w:rsidRDefault="00D448C6" w:rsidP="00D448C6">
      <w:pPr>
        <w:ind w:firstLine="708"/>
        <w:jc w:val="both"/>
        <w:rPr>
          <w:sz w:val="28"/>
          <w:szCs w:val="28"/>
        </w:rPr>
      </w:pPr>
      <w:r w:rsidRPr="00D448C6">
        <w:rPr>
          <w:sz w:val="28"/>
          <w:szCs w:val="28"/>
        </w:rPr>
        <w:t xml:space="preserve">За віковою структурою лікувалось жінок старших 55 років –539 - 14,9% проти 521 - 14,6%,  дітей до 17 років –14 - 0,4% проти 17-0,5% </w:t>
      </w:r>
    </w:p>
    <w:p w:rsidR="00D448C6" w:rsidRPr="00D448C6" w:rsidRDefault="00D448C6" w:rsidP="00D448C6">
      <w:pPr>
        <w:ind w:firstLine="567"/>
        <w:jc w:val="both"/>
        <w:rPr>
          <w:sz w:val="28"/>
          <w:szCs w:val="28"/>
        </w:rPr>
      </w:pPr>
      <w:r w:rsidRPr="00D448C6">
        <w:rPr>
          <w:sz w:val="28"/>
          <w:szCs w:val="28"/>
        </w:rPr>
        <w:t xml:space="preserve">Лікувалось сільських жителів – 1535 - 42,4% проти 1568 - 43,9%. </w:t>
      </w:r>
    </w:p>
    <w:p w:rsidR="00D448C6" w:rsidRPr="00D448C6" w:rsidRDefault="00D448C6" w:rsidP="00D448C6">
      <w:pPr>
        <w:ind w:firstLine="567"/>
        <w:jc w:val="both"/>
        <w:rPr>
          <w:sz w:val="28"/>
          <w:szCs w:val="28"/>
        </w:rPr>
      </w:pPr>
      <w:r w:rsidRPr="00D448C6">
        <w:rPr>
          <w:sz w:val="28"/>
          <w:szCs w:val="28"/>
        </w:rPr>
        <w:t>Планових госпіталізацій хворих в гінекологічний стаціонар 65,1% проти 67,0%. у 2017 році.</w:t>
      </w:r>
    </w:p>
    <w:p w:rsidR="00D448C6" w:rsidRPr="00D448C6" w:rsidRDefault="00D448C6" w:rsidP="00D448C6">
      <w:pPr>
        <w:ind w:firstLine="567"/>
        <w:jc w:val="both"/>
        <w:rPr>
          <w:sz w:val="28"/>
          <w:szCs w:val="28"/>
        </w:rPr>
      </w:pPr>
      <w:r w:rsidRPr="00D448C6">
        <w:rPr>
          <w:sz w:val="28"/>
          <w:szCs w:val="28"/>
        </w:rPr>
        <w:t>За 2018 рік в умовах денного стаціонару</w:t>
      </w:r>
      <w:r w:rsidRPr="00D448C6">
        <w:rPr>
          <w:sz w:val="28"/>
          <w:szCs w:val="28"/>
          <w:lang w:val="uk-UA"/>
        </w:rPr>
        <w:t xml:space="preserve"> КНП МКПЦ</w:t>
      </w:r>
      <w:r w:rsidRPr="00D448C6">
        <w:rPr>
          <w:sz w:val="28"/>
          <w:szCs w:val="28"/>
        </w:rPr>
        <w:t xml:space="preserve"> проліковано 1304 жінок проти 1846 у 2017 р., що на 543 менше, це пов’язано з скороченням ліжок з 36 до 26.</w:t>
      </w:r>
    </w:p>
    <w:p w:rsidR="00D448C6" w:rsidRPr="00D448C6" w:rsidRDefault="00D448C6" w:rsidP="00D448C6">
      <w:pPr>
        <w:ind w:firstLine="567"/>
        <w:jc w:val="both"/>
        <w:rPr>
          <w:sz w:val="28"/>
          <w:szCs w:val="28"/>
        </w:rPr>
      </w:pPr>
      <w:r w:rsidRPr="00D448C6">
        <w:rPr>
          <w:sz w:val="28"/>
          <w:szCs w:val="28"/>
        </w:rPr>
        <w:t xml:space="preserve"> З них: жителів міста та приміських сіл – 1251 - 96,0% проти 1776-96,0%, інших населених пунктів –53-4,0% проти 70-4,0%.</w:t>
      </w:r>
    </w:p>
    <w:p w:rsidR="00D448C6" w:rsidRPr="00D448C6" w:rsidRDefault="00D448C6" w:rsidP="00D448C6">
      <w:pPr>
        <w:ind w:firstLine="567"/>
        <w:jc w:val="both"/>
        <w:rPr>
          <w:sz w:val="28"/>
          <w:szCs w:val="28"/>
        </w:rPr>
      </w:pPr>
      <w:r w:rsidRPr="00D448C6">
        <w:rPr>
          <w:sz w:val="28"/>
          <w:szCs w:val="28"/>
        </w:rPr>
        <w:t>Лікувалося вагітних –</w:t>
      </w:r>
      <w:r w:rsidRPr="00D448C6">
        <w:rPr>
          <w:sz w:val="28"/>
          <w:szCs w:val="28"/>
          <w:lang w:val="uk-UA"/>
        </w:rPr>
        <w:t xml:space="preserve"> </w:t>
      </w:r>
      <w:r w:rsidRPr="00D448C6">
        <w:rPr>
          <w:sz w:val="28"/>
          <w:szCs w:val="28"/>
        </w:rPr>
        <w:t>670</w:t>
      </w:r>
      <w:r w:rsidRPr="00D448C6">
        <w:rPr>
          <w:sz w:val="28"/>
          <w:szCs w:val="28"/>
          <w:lang w:val="uk-UA"/>
        </w:rPr>
        <w:t xml:space="preserve"> у 2018 році</w:t>
      </w:r>
      <w:r w:rsidRPr="00D448C6">
        <w:rPr>
          <w:sz w:val="28"/>
          <w:szCs w:val="28"/>
        </w:rPr>
        <w:t xml:space="preserve"> проти 1757</w:t>
      </w:r>
      <w:r w:rsidRPr="00D448C6">
        <w:rPr>
          <w:sz w:val="28"/>
          <w:szCs w:val="28"/>
          <w:lang w:val="uk-UA"/>
        </w:rPr>
        <w:t xml:space="preserve"> у 2017 році</w:t>
      </w:r>
      <w:r w:rsidRPr="00D448C6">
        <w:rPr>
          <w:sz w:val="28"/>
          <w:szCs w:val="28"/>
        </w:rPr>
        <w:t>, гінекологічних –267</w:t>
      </w:r>
      <w:r w:rsidRPr="00D448C6">
        <w:rPr>
          <w:sz w:val="28"/>
          <w:szCs w:val="28"/>
          <w:lang w:val="uk-UA"/>
        </w:rPr>
        <w:t xml:space="preserve"> у 2018 році</w:t>
      </w:r>
      <w:r w:rsidRPr="00D448C6">
        <w:rPr>
          <w:sz w:val="28"/>
          <w:szCs w:val="28"/>
        </w:rPr>
        <w:t xml:space="preserve"> проти 89</w:t>
      </w:r>
      <w:r w:rsidRPr="00D448C6">
        <w:rPr>
          <w:sz w:val="28"/>
          <w:szCs w:val="28"/>
          <w:lang w:val="uk-UA"/>
        </w:rPr>
        <w:t xml:space="preserve"> у 2017 році</w:t>
      </w:r>
      <w:r w:rsidRPr="00D448C6">
        <w:rPr>
          <w:sz w:val="28"/>
          <w:szCs w:val="28"/>
        </w:rPr>
        <w:t>.</w:t>
      </w:r>
    </w:p>
    <w:p w:rsidR="00D448C6" w:rsidRPr="00D448C6" w:rsidRDefault="00D448C6" w:rsidP="00D448C6">
      <w:pPr>
        <w:ind w:firstLine="567"/>
        <w:jc w:val="both"/>
        <w:rPr>
          <w:sz w:val="28"/>
          <w:szCs w:val="28"/>
          <w:lang w:val="uk-UA"/>
        </w:rPr>
      </w:pPr>
      <w:r w:rsidRPr="00D448C6">
        <w:rPr>
          <w:sz w:val="28"/>
          <w:szCs w:val="28"/>
        </w:rPr>
        <w:t xml:space="preserve">Відсоток виконання плану ліжко-днів 134,7% </w:t>
      </w:r>
      <w:r w:rsidRPr="00D448C6">
        <w:rPr>
          <w:sz w:val="28"/>
          <w:szCs w:val="28"/>
          <w:lang w:val="uk-UA"/>
        </w:rPr>
        <w:t xml:space="preserve">у 2018 році </w:t>
      </w:r>
      <w:r w:rsidRPr="00D448C6">
        <w:rPr>
          <w:sz w:val="28"/>
          <w:szCs w:val="28"/>
        </w:rPr>
        <w:t>проти 134,1%</w:t>
      </w:r>
      <w:r w:rsidRPr="00D448C6">
        <w:rPr>
          <w:sz w:val="28"/>
          <w:szCs w:val="28"/>
          <w:lang w:val="uk-UA"/>
        </w:rPr>
        <w:t xml:space="preserve"> у 2017 році</w:t>
      </w:r>
      <w:r w:rsidRPr="00D448C6">
        <w:rPr>
          <w:sz w:val="28"/>
          <w:szCs w:val="28"/>
        </w:rPr>
        <w:t>, середній ліжко – день 6,9</w:t>
      </w:r>
      <w:r w:rsidRPr="00D448C6">
        <w:rPr>
          <w:sz w:val="28"/>
          <w:szCs w:val="28"/>
          <w:lang w:val="uk-UA"/>
        </w:rPr>
        <w:t xml:space="preserve"> у 2018 році</w:t>
      </w:r>
      <w:r w:rsidRPr="00D448C6">
        <w:rPr>
          <w:sz w:val="28"/>
          <w:szCs w:val="28"/>
        </w:rPr>
        <w:t xml:space="preserve"> проти 6,5 </w:t>
      </w:r>
      <w:r w:rsidRPr="00D448C6">
        <w:rPr>
          <w:sz w:val="28"/>
          <w:szCs w:val="28"/>
          <w:lang w:val="uk-UA"/>
        </w:rPr>
        <w:t xml:space="preserve">у 2017 році </w:t>
      </w:r>
      <w:r w:rsidRPr="00D448C6">
        <w:rPr>
          <w:sz w:val="28"/>
          <w:szCs w:val="28"/>
        </w:rPr>
        <w:t>(при нормативі - 9,2)</w:t>
      </w:r>
      <w:r w:rsidRPr="00D448C6">
        <w:rPr>
          <w:sz w:val="28"/>
          <w:szCs w:val="28"/>
          <w:lang w:val="uk-UA"/>
        </w:rPr>
        <w:t>.</w:t>
      </w:r>
    </w:p>
    <w:p w:rsidR="00D448C6" w:rsidRPr="00D448C6" w:rsidRDefault="00D448C6" w:rsidP="00D448C6">
      <w:pPr>
        <w:ind w:firstLine="567"/>
        <w:jc w:val="both"/>
        <w:rPr>
          <w:sz w:val="28"/>
          <w:szCs w:val="28"/>
        </w:rPr>
      </w:pPr>
      <w:r w:rsidRPr="00D448C6">
        <w:rPr>
          <w:sz w:val="28"/>
          <w:szCs w:val="28"/>
        </w:rPr>
        <w:t>В денному стаціонарі із загрозою передчасних пологів проліковано –78 проти 139 вагітні, із загрозою переривання вагітності – 176</w:t>
      </w:r>
      <w:r w:rsidRPr="00D448C6">
        <w:rPr>
          <w:sz w:val="28"/>
          <w:szCs w:val="28"/>
          <w:lang w:val="uk-UA"/>
        </w:rPr>
        <w:t xml:space="preserve"> вагітних у 2018 році </w:t>
      </w:r>
      <w:r w:rsidRPr="00D448C6">
        <w:rPr>
          <w:sz w:val="28"/>
          <w:szCs w:val="28"/>
        </w:rPr>
        <w:t xml:space="preserve"> проти 243</w:t>
      </w:r>
      <w:r w:rsidRPr="00D448C6">
        <w:rPr>
          <w:sz w:val="28"/>
          <w:szCs w:val="28"/>
          <w:lang w:val="uk-UA"/>
        </w:rPr>
        <w:t xml:space="preserve"> у 2017 році</w:t>
      </w:r>
      <w:r w:rsidRPr="00D448C6">
        <w:rPr>
          <w:sz w:val="28"/>
          <w:szCs w:val="28"/>
        </w:rPr>
        <w:t>.</w:t>
      </w:r>
    </w:p>
    <w:p w:rsidR="00D448C6" w:rsidRPr="00D448C6" w:rsidRDefault="00D448C6" w:rsidP="00D448C6">
      <w:pPr>
        <w:ind w:firstLine="567"/>
        <w:jc w:val="both"/>
        <w:rPr>
          <w:sz w:val="28"/>
          <w:szCs w:val="28"/>
        </w:rPr>
      </w:pPr>
      <w:r w:rsidRPr="00D448C6">
        <w:rPr>
          <w:sz w:val="28"/>
          <w:szCs w:val="28"/>
        </w:rPr>
        <w:t>В порівнянні з 2017 роком</w:t>
      </w:r>
      <w:r w:rsidRPr="00D448C6">
        <w:rPr>
          <w:sz w:val="28"/>
          <w:szCs w:val="28"/>
          <w:lang w:val="uk-UA"/>
        </w:rPr>
        <w:t>, у 2018 році,</w:t>
      </w:r>
      <w:r w:rsidRPr="00D448C6">
        <w:rPr>
          <w:sz w:val="28"/>
          <w:szCs w:val="28"/>
        </w:rPr>
        <w:t xml:space="preserve"> суттєво зросла кількість пролікованих гінекологічних хворих та проведених їм малих операцій та маніпуляцій</w:t>
      </w:r>
      <w:r w:rsidRPr="00D448C6">
        <w:rPr>
          <w:sz w:val="28"/>
          <w:szCs w:val="28"/>
          <w:lang w:val="uk-UA"/>
        </w:rPr>
        <w:t>.</w:t>
      </w:r>
      <w:r w:rsidRPr="00D448C6">
        <w:rPr>
          <w:sz w:val="28"/>
          <w:szCs w:val="28"/>
        </w:rPr>
        <w:t>Внаслідок даних маніпуляцій значно збільшилась кількість виявлених фонових захворювань ш/матки та т/матки.</w:t>
      </w:r>
    </w:p>
    <w:p w:rsidR="00D448C6" w:rsidRPr="00D448C6" w:rsidRDefault="00D448C6" w:rsidP="00D448C6">
      <w:pPr>
        <w:ind w:firstLine="567"/>
        <w:jc w:val="both"/>
        <w:rPr>
          <w:sz w:val="28"/>
          <w:szCs w:val="28"/>
        </w:rPr>
      </w:pPr>
      <w:r w:rsidRPr="00D448C6">
        <w:rPr>
          <w:sz w:val="28"/>
          <w:szCs w:val="28"/>
          <w:lang w:val="uk-UA"/>
        </w:rPr>
        <w:t>Палати</w:t>
      </w:r>
      <w:r w:rsidRPr="00D448C6">
        <w:rPr>
          <w:sz w:val="28"/>
          <w:szCs w:val="28"/>
        </w:rPr>
        <w:t xml:space="preserve"> інтенсивної терапії КНП МКПЦ. </w:t>
      </w:r>
      <w:r w:rsidRPr="00D448C6">
        <w:rPr>
          <w:sz w:val="28"/>
          <w:szCs w:val="28"/>
          <w:lang w:val="uk-UA"/>
        </w:rPr>
        <w:t>З</w:t>
      </w:r>
      <w:r w:rsidRPr="00D448C6">
        <w:rPr>
          <w:sz w:val="28"/>
          <w:szCs w:val="28"/>
        </w:rPr>
        <w:t>а 2018 рік проліковано 326 проти 342 пацієнток, що на 16 менше, ніж у 2017 році.</w:t>
      </w:r>
      <w:r w:rsidRPr="00D448C6">
        <w:rPr>
          <w:sz w:val="28"/>
          <w:szCs w:val="28"/>
          <w:lang w:val="uk-UA"/>
        </w:rPr>
        <w:t xml:space="preserve"> </w:t>
      </w:r>
      <w:r w:rsidRPr="00D448C6">
        <w:rPr>
          <w:sz w:val="28"/>
          <w:szCs w:val="28"/>
        </w:rPr>
        <w:t>Загальна кількість анестезій проти за 2018 рік становила 2927 проти 2884, що на 43 більше.</w:t>
      </w:r>
      <w:r w:rsidRPr="00D448C6">
        <w:rPr>
          <w:sz w:val="28"/>
          <w:szCs w:val="28"/>
          <w:lang w:val="uk-UA"/>
        </w:rPr>
        <w:t xml:space="preserve"> </w:t>
      </w:r>
      <w:r w:rsidRPr="00D448C6">
        <w:rPr>
          <w:sz w:val="28"/>
          <w:szCs w:val="28"/>
        </w:rPr>
        <w:t xml:space="preserve">Всього в акушерському стаціонарі було 1116 </w:t>
      </w:r>
      <w:r w:rsidRPr="00D448C6">
        <w:rPr>
          <w:sz w:val="28"/>
          <w:szCs w:val="28"/>
          <w:lang w:val="uk-UA"/>
        </w:rPr>
        <w:t xml:space="preserve">у 2018 році </w:t>
      </w:r>
      <w:r w:rsidRPr="00D448C6">
        <w:rPr>
          <w:sz w:val="28"/>
          <w:szCs w:val="28"/>
        </w:rPr>
        <w:t>проти 1041 анестезій</w:t>
      </w:r>
      <w:r w:rsidRPr="00D448C6">
        <w:rPr>
          <w:sz w:val="28"/>
          <w:szCs w:val="28"/>
          <w:lang w:val="uk-UA"/>
        </w:rPr>
        <w:t xml:space="preserve"> у 2017 році</w:t>
      </w:r>
      <w:r w:rsidRPr="00D448C6">
        <w:rPr>
          <w:sz w:val="28"/>
          <w:szCs w:val="28"/>
        </w:rPr>
        <w:t>, що на 75 більше, в гінекологічному стаціонарі було 1811</w:t>
      </w:r>
      <w:r w:rsidRPr="00D448C6">
        <w:rPr>
          <w:sz w:val="28"/>
          <w:szCs w:val="28"/>
          <w:lang w:val="uk-UA"/>
        </w:rPr>
        <w:t xml:space="preserve"> анестезій у 2018 році </w:t>
      </w:r>
      <w:r w:rsidRPr="00D448C6">
        <w:rPr>
          <w:sz w:val="28"/>
          <w:szCs w:val="28"/>
        </w:rPr>
        <w:t xml:space="preserve"> проти  1843 у 2017 році, що на 32 менше. З них у акушерському стаціонарі нейрокостальний метод знеболення застосовано у 436 випадках - 86,0% проти у 417, що становить проти 82,0%.</w:t>
      </w:r>
    </w:p>
    <w:p w:rsidR="00D448C6" w:rsidRPr="00D448C6" w:rsidRDefault="00D448C6" w:rsidP="00D448C6">
      <w:pPr>
        <w:ind w:firstLine="567"/>
        <w:jc w:val="both"/>
        <w:rPr>
          <w:sz w:val="28"/>
          <w:szCs w:val="28"/>
        </w:rPr>
      </w:pPr>
      <w:r w:rsidRPr="00D448C6">
        <w:rPr>
          <w:sz w:val="28"/>
          <w:szCs w:val="28"/>
        </w:rPr>
        <w:lastRenderedPageBreak/>
        <w:t>Збільшився відсоток знеболень у пологах до 19,8% (16,2%), проте він і надалі лишається мізерним у порівнянні з Польщею, де цей відсоток складає 60,0%.</w:t>
      </w:r>
    </w:p>
    <w:p w:rsidR="00D448C6" w:rsidRPr="00D448C6" w:rsidRDefault="00D448C6" w:rsidP="00D448C6">
      <w:pPr>
        <w:ind w:firstLine="567"/>
        <w:jc w:val="both"/>
        <w:rPr>
          <w:sz w:val="28"/>
          <w:szCs w:val="28"/>
        </w:rPr>
      </w:pPr>
      <w:r w:rsidRPr="00D448C6">
        <w:rPr>
          <w:sz w:val="28"/>
          <w:szCs w:val="28"/>
        </w:rPr>
        <w:t>Кількість масивних кровотеч в акушерстві незначно збільшилась і складає - 6 випадків у 2018 р. проти 4 у 2017 році.</w:t>
      </w:r>
    </w:p>
    <w:p w:rsidR="00D448C6" w:rsidRPr="00D448C6" w:rsidRDefault="00D448C6" w:rsidP="00D448C6">
      <w:pPr>
        <w:ind w:firstLine="567"/>
        <w:jc w:val="both"/>
        <w:rPr>
          <w:sz w:val="28"/>
          <w:szCs w:val="28"/>
        </w:rPr>
      </w:pPr>
      <w:r w:rsidRPr="00D448C6">
        <w:rPr>
          <w:sz w:val="28"/>
          <w:szCs w:val="28"/>
        </w:rPr>
        <w:t>Проліковано  прееклампсій середнього та важкого ступеня важкості не змінилась – 12 проти 12.</w:t>
      </w:r>
    </w:p>
    <w:p w:rsidR="00D448C6" w:rsidRPr="00D448C6" w:rsidRDefault="00D448C6" w:rsidP="00D448C6">
      <w:pPr>
        <w:ind w:firstLine="567"/>
        <w:jc w:val="both"/>
        <w:rPr>
          <w:sz w:val="28"/>
          <w:szCs w:val="28"/>
        </w:rPr>
      </w:pPr>
      <w:r w:rsidRPr="00D448C6">
        <w:rPr>
          <w:sz w:val="28"/>
          <w:szCs w:val="28"/>
        </w:rPr>
        <w:t xml:space="preserve">УЗД відділення. Усього оглянуто працівниками відділення УЗД у 2018 році </w:t>
      </w:r>
      <w:r w:rsidRPr="00D448C6">
        <w:rPr>
          <w:sz w:val="28"/>
          <w:szCs w:val="28"/>
          <w:lang w:val="uk-UA"/>
        </w:rPr>
        <w:t xml:space="preserve">                        </w:t>
      </w:r>
      <w:r w:rsidRPr="00D448C6">
        <w:rPr>
          <w:sz w:val="28"/>
          <w:szCs w:val="28"/>
        </w:rPr>
        <w:t xml:space="preserve">41 766 проти 38 793 жінок у 2017 році, що на  2973 більше за рахунок проведення оглядів новонародженим дітям – 1 035 оглядів </w:t>
      </w:r>
      <w:r w:rsidRPr="00D448C6">
        <w:rPr>
          <w:sz w:val="28"/>
          <w:szCs w:val="28"/>
          <w:lang w:val="uk-UA"/>
        </w:rPr>
        <w:t>на</w:t>
      </w:r>
      <w:r w:rsidRPr="00D448C6">
        <w:rPr>
          <w:sz w:val="28"/>
          <w:szCs w:val="28"/>
        </w:rPr>
        <w:t xml:space="preserve"> придбано</w:t>
      </w:r>
      <w:r w:rsidRPr="00D448C6">
        <w:rPr>
          <w:sz w:val="28"/>
          <w:szCs w:val="28"/>
          <w:lang w:val="uk-UA"/>
        </w:rPr>
        <w:t>му</w:t>
      </w:r>
      <w:r w:rsidRPr="00D448C6">
        <w:rPr>
          <w:sz w:val="28"/>
          <w:szCs w:val="28"/>
        </w:rPr>
        <w:t xml:space="preserve"> ново</w:t>
      </w:r>
      <w:r w:rsidRPr="00D448C6">
        <w:rPr>
          <w:sz w:val="28"/>
          <w:szCs w:val="28"/>
          <w:lang w:val="uk-UA"/>
        </w:rPr>
        <w:t>му</w:t>
      </w:r>
      <w:r w:rsidRPr="00D448C6">
        <w:rPr>
          <w:sz w:val="28"/>
          <w:szCs w:val="28"/>
        </w:rPr>
        <w:t xml:space="preserve"> апарат</w:t>
      </w:r>
      <w:r w:rsidRPr="00D448C6">
        <w:rPr>
          <w:sz w:val="28"/>
          <w:szCs w:val="28"/>
          <w:lang w:val="uk-UA"/>
        </w:rPr>
        <w:t>і</w:t>
      </w:r>
      <w:r w:rsidRPr="00D448C6">
        <w:rPr>
          <w:sz w:val="28"/>
          <w:szCs w:val="28"/>
        </w:rPr>
        <w:t xml:space="preserve"> УЗД  для акушерського корпусу.</w:t>
      </w:r>
    </w:p>
    <w:p w:rsidR="00D448C6" w:rsidRPr="00D448C6" w:rsidRDefault="00D448C6" w:rsidP="00D448C6">
      <w:pPr>
        <w:ind w:firstLine="567"/>
        <w:jc w:val="both"/>
        <w:rPr>
          <w:sz w:val="28"/>
          <w:szCs w:val="28"/>
        </w:rPr>
      </w:pPr>
      <w:r w:rsidRPr="00D448C6">
        <w:rPr>
          <w:sz w:val="28"/>
          <w:szCs w:val="28"/>
        </w:rPr>
        <w:t>Оглянуто  органів малого тазу жінок у 2018 р. 16097 проти 2017 році 15480, у тому числі при вагітності 10 889 проти 10 685 осіб, що складає на 2,8% більше ніж у минулому році. З них до 22 т. вагітності – 5927 проти 5923</w:t>
      </w:r>
      <w:r w:rsidRPr="00D448C6">
        <w:rPr>
          <w:sz w:val="28"/>
          <w:szCs w:val="28"/>
          <w:lang w:val="uk-UA"/>
        </w:rPr>
        <w:t>.</w:t>
      </w:r>
      <w:r w:rsidRPr="00D448C6">
        <w:rPr>
          <w:sz w:val="28"/>
          <w:szCs w:val="28"/>
        </w:rPr>
        <w:t xml:space="preserve"> </w:t>
      </w:r>
    </w:p>
    <w:p w:rsidR="00D448C6" w:rsidRPr="00D448C6" w:rsidRDefault="00D448C6" w:rsidP="00D448C6">
      <w:pPr>
        <w:ind w:firstLine="567"/>
        <w:jc w:val="both"/>
        <w:rPr>
          <w:sz w:val="28"/>
          <w:szCs w:val="28"/>
        </w:rPr>
      </w:pPr>
      <w:r w:rsidRPr="00D448C6">
        <w:rPr>
          <w:sz w:val="28"/>
          <w:szCs w:val="28"/>
          <w:lang w:val="uk-UA"/>
        </w:rPr>
        <w:t>Первинним</w:t>
      </w:r>
      <w:r w:rsidRPr="00D448C6">
        <w:rPr>
          <w:sz w:val="28"/>
          <w:szCs w:val="28"/>
        </w:rPr>
        <w:t xml:space="preserve">  скринінг</w:t>
      </w:r>
      <w:r w:rsidRPr="00D448C6">
        <w:rPr>
          <w:sz w:val="28"/>
          <w:szCs w:val="28"/>
          <w:lang w:val="uk-UA"/>
        </w:rPr>
        <w:t>ом</w:t>
      </w:r>
      <w:r w:rsidRPr="00D448C6">
        <w:rPr>
          <w:sz w:val="28"/>
          <w:szCs w:val="28"/>
        </w:rPr>
        <w:t xml:space="preserve"> ( 11т. – 13т. ) охоплено 2262</w:t>
      </w:r>
      <w:r w:rsidRPr="00D448C6">
        <w:rPr>
          <w:sz w:val="28"/>
          <w:szCs w:val="28"/>
          <w:lang w:val="uk-UA"/>
        </w:rPr>
        <w:t xml:space="preserve"> вагітних у 2018 році </w:t>
      </w:r>
      <w:r w:rsidRPr="00D448C6">
        <w:rPr>
          <w:sz w:val="28"/>
          <w:szCs w:val="28"/>
        </w:rPr>
        <w:t xml:space="preserve"> проти 2759 осіб</w:t>
      </w:r>
      <w:r w:rsidRPr="00D448C6">
        <w:rPr>
          <w:sz w:val="28"/>
          <w:szCs w:val="28"/>
          <w:lang w:val="uk-UA"/>
        </w:rPr>
        <w:t xml:space="preserve"> у 2017 році</w:t>
      </w:r>
      <w:r w:rsidRPr="00D448C6">
        <w:rPr>
          <w:sz w:val="28"/>
          <w:szCs w:val="28"/>
        </w:rPr>
        <w:t>.</w:t>
      </w:r>
      <w:r w:rsidRPr="00D448C6">
        <w:rPr>
          <w:sz w:val="28"/>
          <w:szCs w:val="28"/>
          <w:lang w:val="uk-UA"/>
        </w:rPr>
        <w:t xml:space="preserve"> Вторинним скри</w:t>
      </w:r>
      <w:r w:rsidRPr="00D448C6">
        <w:rPr>
          <w:sz w:val="28"/>
          <w:szCs w:val="28"/>
        </w:rPr>
        <w:t>нінг</w:t>
      </w:r>
      <w:r w:rsidRPr="00D448C6">
        <w:rPr>
          <w:sz w:val="28"/>
          <w:szCs w:val="28"/>
          <w:lang w:val="uk-UA"/>
        </w:rPr>
        <w:t>ом</w:t>
      </w:r>
      <w:r w:rsidRPr="00D448C6">
        <w:rPr>
          <w:sz w:val="28"/>
          <w:szCs w:val="28"/>
        </w:rPr>
        <w:t xml:space="preserve"> (18т – 21т. ) – </w:t>
      </w:r>
      <w:r w:rsidRPr="00D448C6">
        <w:rPr>
          <w:sz w:val="28"/>
          <w:szCs w:val="28"/>
          <w:lang w:val="uk-UA"/>
        </w:rPr>
        <w:t xml:space="preserve">охоплено </w:t>
      </w:r>
      <w:r w:rsidRPr="00D448C6">
        <w:rPr>
          <w:sz w:val="28"/>
          <w:szCs w:val="28"/>
        </w:rPr>
        <w:t>3665</w:t>
      </w:r>
      <w:r w:rsidRPr="00D448C6">
        <w:rPr>
          <w:sz w:val="28"/>
          <w:szCs w:val="28"/>
          <w:lang w:val="uk-UA"/>
        </w:rPr>
        <w:t xml:space="preserve"> вагітних у 2018 році </w:t>
      </w:r>
      <w:r w:rsidRPr="00D448C6">
        <w:rPr>
          <w:sz w:val="28"/>
          <w:szCs w:val="28"/>
        </w:rPr>
        <w:t xml:space="preserve"> проти 3176 осіб</w:t>
      </w:r>
      <w:r w:rsidRPr="00D448C6">
        <w:rPr>
          <w:sz w:val="28"/>
          <w:szCs w:val="28"/>
          <w:lang w:val="uk-UA"/>
        </w:rPr>
        <w:t xml:space="preserve"> у  2017 році</w:t>
      </w:r>
      <w:r w:rsidRPr="00D448C6">
        <w:rPr>
          <w:sz w:val="28"/>
          <w:szCs w:val="28"/>
        </w:rPr>
        <w:t>.</w:t>
      </w:r>
    </w:p>
    <w:p w:rsidR="00D448C6" w:rsidRPr="00D448C6" w:rsidRDefault="00D448C6" w:rsidP="00D448C6">
      <w:pPr>
        <w:ind w:firstLine="567"/>
        <w:jc w:val="both"/>
        <w:rPr>
          <w:sz w:val="28"/>
          <w:szCs w:val="28"/>
        </w:rPr>
      </w:pPr>
      <w:r w:rsidRPr="00D448C6">
        <w:rPr>
          <w:sz w:val="28"/>
          <w:szCs w:val="28"/>
        </w:rPr>
        <w:t xml:space="preserve">Доплерометрія судин пуповини </w:t>
      </w:r>
      <w:r w:rsidRPr="00D448C6">
        <w:rPr>
          <w:sz w:val="28"/>
          <w:szCs w:val="28"/>
          <w:lang w:val="uk-UA"/>
        </w:rPr>
        <w:t xml:space="preserve">– проведено </w:t>
      </w:r>
      <w:r w:rsidRPr="00D448C6">
        <w:rPr>
          <w:sz w:val="28"/>
          <w:szCs w:val="28"/>
        </w:rPr>
        <w:t>3764</w:t>
      </w:r>
      <w:r w:rsidRPr="00D448C6">
        <w:rPr>
          <w:sz w:val="28"/>
          <w:szCs w:val="28"/>
          <w:lang w:val="uk-UA"/>
        </w:rPr>
        <w:t xml:space="preserve"> обстежень у 2018 році</w:t>
      </w:r>
      <w:r w:rsidRPr="00D448C6">
        <w:rPr>
          <w:sz w:val="28"/>
          <w:szCs w:val="28"/>
        </w:rPr>
        <w:t xml:space="preserve"> проти 3657 у </w:t>
      </w:r>
      <w:r w:rsidRPr="00D448C6">
        <w:rPr>
          <w:sz w:val="28"/>
          <w:szCs w:val="28"/>
          <w:lang w:val="uk-UA"/>
        </w:rPr>
        <w:t>2017</w:t>
      </w:r>
      <w:r w:rsidRPr="00D448C6">
        <w:rPr>
          <w:sz w:val="28"/>
          <w:szCs w:val="28"/>
        </w:rPr>
        <w:t xml:space="preserve"> році, що на 1,9% більше. </w:t>
      </w:r>
    </w:p>
    <w:p w:rsidR="00D448C6" w:rsidRPr="00D448C6" w:rsidRDefault="00D448C6" w:rsidP="00D448C6">
      <w:pPr>
        <w:ind w:firstLine="567"/>
        <w:jc w:val="both"/>
        <w:rPr>
          <w:sz w:val="28"/>
          <w:szCs w:val="28"/>
        </w:rPr>
      </w:pPr>
      <w:r w:rsidRPr="00D448C6">
        <w:rPr>
          <w:sz w:val="28"/>
          <w:szCs w:val="28"/>
        </w:rPr>
        <w:t>Біопрофіль плода</w:t>
      </w:r>
      <w:r w:rsidRPr="00D448C6">
        <w:rPr>
          <w:sz w:val="28"/>
          <w:szCs w:val="28"/>
          <w:lang w:val="uk-UA"/>
        </w:rPr>
        <w:t xml:space="preserve"> -</w:t>
      </w:r>
      <w:r w:rsidRPr="00D448C6">
        <w:rPr>
          <w:sz w:val="28"/>
          <w:szCs w:val="28"/>
        </w:rPr>
        <w:t xml:space="preserve"> проведено 1784</w:t>
      </w:r>
      <w:r w:rsidRPr="00D448C6">
        <w:rPr>
          <w:sz w:val="28"/>
          <w:szCs w:val="28"/>
          <w:lang w:val="uk-UA"/>
        </w:rPr>
        <w:t xml:space="preserve"> обстежень у 2018 році </w:t>
      </w:r>
      <w:r w:rsidRPr="00D448C6">
        <w:rPr>
          <w:sz w:val="28"/>
          <w:szCs w:val="28"/>
        </w:rPr>
        <w:t xml:space="preserve"> проти 1748, що на 1,1% більше ніж у 2017 році.</w:t>
      </w:r>
    </w:p>
    <w:p w:rsidR="00D448C6" w:rsidRPr="00D448C6" w:rsidRDefault="00D448C6" w:rsidP="00D448C6">
      <w:pPr>
        <w:ind w:firstLine="567"/>
        <w:jc w:val="both"/>
        <w:rPr>
          <w:sz w:val="28"/>
          <w:szCs w:val="28"/>
        </w:rPr>
      </w:pPr>
      <w:r w:rsidRPr="00D448C6">
        <w:rPr>
          <w:sz w:val="28"/>
          <w:szCs w:val="28"/>
        </w:rPr>
        <w:t>Виявлено вроджених вад розвитку плода – 28 проти 24 у 2017 році. Перервано вагітностей до 22 тижнів по медичних показах -</w:t>
      </w:r>
      <w:r w:rsidRPr="00D448C6">
        <w:rPr>
          <w:sz w:val="28"/>
          <w:szCs w:val="28"/>
          <w:lang w:val="uk-UA"/>
        </w:rPr>
        <w:t xml:space="preserve"> </w:t>
      </w:r>
      <w:r w:rsidRPr="00D448C6">
        <w:rPr>
          <w:sz w:val="28"/>
          <w:szCs w:val="28"/>
        </w:rPr>
        <w:t>4 проти 7 у минулому році. Відмов від переривання вагітності з ВВР - 4.</w:t>
      </w:r>
    </w:p>
    <w:p w:rsidR="00D448C6" w:rsidRPr="00D448C6" w:rsidRDefault="00D448C6" w:rsidP="00D448C6">
      <w:pPr>
        <w:ind w:firstLine="567"/>
        <w:jc w:val="both"/>
        <w:rPr>
          <w:sz w:val="28"/>
          <w:szCs w:val="28"/>
        </w:rPr>
      </w:pPr>
      <w:r w:rsidRPr="00D448C6">
        <w:rPr>
          <w:sz w:val="28"/>
          <w:szCs w:val="28"/>
        </w:rPr>
        <w:t xml:space="preserve">Виявлено акушерську патологію </w:t>
      </w:r>
      <w:r w:rsidRPr="00D448C6">
        <w:rPr>
          <w:sz w:val="28"/>
          <w:szCs w:val="28"/>
          <w:lang w:val="uk-UA"/>
        </w:rPr>
        <w:t>у 2018 році у</w:t>
      </w:r>
      <w:r w:rsidRPr="00D448C6">
        <w:rPr>
          <w:sz w:val="28"/>
          <w:szCs w:val="28"/>
        </w:rPr>
        <w:t xml:space="preserve"> 1978 </w:t>
      </w:r>
      <w:r w:rsidRPr="00D448C6">
        <w:rPr>
          <w:sz w:val="28"/>
          <w:szCs w:val="28"/>
          <w:lang w:val="uk-UA"/>
        </w:rPr>
        <w:t xml:space="preserve">жінок </w:t>
      </w:r>
      <w:r w:rsidRPr="00D448C6">
        <w:rPr>
          <w:sz w:val="28"/>
          <w:szCs w:val="28"/>
        </w:rPr>
        <w:t>проти 2459</w:t>
      </w:r>
      <w:r w:rsidRPr="00D448C6">
        <w:rPr>
          <w:sz w:val="28"/>
          <w:szCs w:val="28"/>
          <w:lang w:val="uk-UA"/>
        </w:rPr>
        <w:t xml:space="preserve"> у 2017 році</w:t>
      </w:r>
      <w:r w:rsidRPr="00D448C6">
        <w:rPr>
          <w:sz w:val="28"/>
          <w:szCs w:val="28"/>
        </w:rPr>
        <w:t>.</w:t>
      </w:r>
    </w:p>
    <w:p w:rsidR="00D448C6" w:rsidRPr="00D448C6" w:rsidRDefault="00D448C6" w:rsidP="00D448C6">
      <w:pPr>
        <w:ind w:firstLine="567"/>
        <w:jc w:val="both"/>
        <w:rPr>
          <w:sz w:val="28"/>
          <w:szCs w:val="28"/>
        </w:rPr>
      </w:pPr>
      <w:r w:rsidRPr="00D448C6">
        <w:rPr>
          <w:sz w:val="28"/>
          <w:szCs w:val="28"/>
        </w:rPr>
        <w:t xml:space="preserve">Проконсультовано вагітних перинатологами – 245 </w:t>
      </w:r>
      <w:r w:rsidRPr="00D448C6">
        <w:rPr>
          <w:sz w:val="28"/>
          <w:szCs w:val="28"/>
          <w:lang w:val="uk-UA"/>
        </w:rPr>
        <w:t xml:space="preserve">у 2018 році </w:t>
      </w:r>
      <w:r w:rsidRPr="00D448C6">
        <w:rPr>
          <w:sz w:val="28"/>
          <w:szCs w:val="28"/>
        </w:rPr>
        <w:t>проти 196 осіб, проконсультовано вагітних в МГЦ м. Львова та КГЦ м. Київ – 69 проти 64.</w:t>
      </w:r>
    </w:p>
    <w:p w:rsidR="00D448C6" w:rsidRDefault="00D448C6" w:rsidP="00D448C6">
      <w:pPr>
        <w:ind w:firstLine="567"/>
        <w:jc w:val="both"/>
        <w:rPr>
          <w:sz w:val="28"/>
          <w:szCs w:val="28"/>
        </w:rPr>
      </w:pPr>
      <w:r w:rsidRPr="00D448C6">
        <w:rPr>
          <w:sz w:val="28"/>
          <w:szCs w:val="28"/>
        </w:rPr>
        <w:t>Моніторинг стану плода при виявленні акушерської патології у 2018 р. - 6274 проти 5897 у 2017 р., що складає на 2,1% більше ніж у 2017 році.</w:t>
      </w:r>
    </w:p>
    <w:p w:rsidR="00A23195" w:rsidRDefault="00A23195" w:rsidP="00D448C6">
      <w:pPr>
        <w:ind w:firstLine="567"/>
        <w:jc w:val="both"/>
        <w:rPr>
          <w:sz w:val="28"/>
          <w:szCs w:val="28"/>
        </w:rPr>
      </w:pPr>
    </w:p>
    <w:p w:rsidR="00A23195" w:rsidRDefault="00A23195" w:rsidP="00D448C6">
      <w:pPr>
        <w:ind w:firstLine="567"/>
        <w:jc w:val="both"/>
        <w:rPr>
          <w:sz w:val="28"/>
          <w:szCs w:val="28"/>
        </w:rPr>
      </w:pPr>
    </w:p>
    <w:p w:rsidR="00A23195" w:rsidRDefault="004F0B7D" w:rsidP="00A23195">
      <w:pPr>
        <w:jc w:val="both"/>
        <w:rPr>
          <w:sz w:val="28"/>
          <w:szCs w:val="28"/>
          <w:lang w:val="uk-UA"/>
        </w:rPr>
      </w:pPr>
      <w:r>
        <w:rPr>
          <w:sz w:val="28"/>
          <w:szCs w:val="28"/>
          <w:lang w:val="uk-UA"/>
        </w:rPr>
        <w:t xml:space="preserve">Директор комунального некомерційного </w:t>
      </w:r>
    </w:p>
    <w:p w:rsidR="004F0B7D" w:rsidRDefault="004F0B7D" w:rsidP="00A23195">
      <w:pPr>
        <w:jc w:val="both"/>
        <w:rPr>
          <w:sz w:val="28"/>
          <w:szCs w:val="28"/>
          <w:lang w:val="uk-UA"/>
        </w:rPr>
      </w:pPr>
      <w:r>
        <w:rPr>
          <w:sz w:val="28"/>
          <w:szCs w:val="28"/>
          <w:lang w:val="uk-UA"/>
        </w:rPr>
        <w:t xml:space="preserve">підприємства «Івано-Франківський </w:t>
      </w:r>
    </w:p>
    <w:p w:rsidR="004F0B7D" w:rsidRPr="00A23195" w:rsidRDefault="004F0B7D" w:rsidP="00A23195">
      <w:pPr>
        <w:jc w:val="both"/>
        <w:rPr>
          <w:sz w:val="28"/>
          <w:szCs w:val="28"/>
          <w:lang w:val="uk-UA"/>
        </w:rPr>
      </w:pPr>
      <w:r>
        <w:rPr>
          <w:sz w:val="28"/>
          <w:szCs w:val="28"/>
          <w:lang w:val="uk-UA"/>
        </w:rPr>
        <w:t xml:space="preserve">міський клінічний перинатальний центр»     </w:t>
      </w:r>
      <w:r>
        <w:rPr>
          <w:sz w:val="28"/>
          <w:szCs w:val="28"/>
          <w:lang w:val="uk-UA"/>
        </w:rPr>
        <w:tab/>
      </w:r>
      <w:r>
        <w:rPr>
          <w:sz w:val="28"/>
          <w:szCs w:val="28"/>
          <w:lang w:val="uk-UA"/>
        </w:rPr>
        <w:tab/>
      </w:r>
      <w:r>
        <w:rPr>
          <w:sz w:val="28"/>
          <w:szCs w:val="28"/>
          <w:lang w:val="uk-UA"/>
        </w:rPr>
        <w:tab/>
        <w:t xml:space="preserve">               С. Стефанко</w:t>
      </w:r>
    </w:p>
    <w:p w:rsidR="00D448C6" w:rsidRPr="00D448C6" w:rsidRDefault="00D448C6" w:rsidP="00D448C6">
      <w:pPr>
        <w:ind w:firstLine="567"/>
        <w:jc w:val="both"/>
        <w:rPr>
          <w:sz w:val="28"/>
          <w:szCs w:val="28"/>
        </w:rPr>
      </w:pPr>
    </w:p>
    <w:p w:rsidR="00D448C6" w:rsidRPr="00D448C6" w:rsidRDefault="00D448C6" w:rsidP="00D448C6">
      <w:pPr>
        <w:ind w:firstLine="567"/>
        <w:jc w:val="both"/>
        <w:rPr>
          <w:sz w:val="28"/>
          <w:szCs w:val="28"/>
        </w:rPr>
      </w:pPr>
    </w:p>
    <w:p w:rsidR="00D448C6" w:rsidRPr="00D448C6" w:rsidRDefault="00D448C6" w:rsidP="00D448C6">
      <w:pPr>
        <w:ind w:firstLine="567"/>
        <w:jc w:val="both"/>
        <w:rPr>
          <w:sz w:val="28"/>
          <w:szCs w:val="28"/>
        </w:rPr>
      </w:pPr>
    </w:p>
    <w:p w:rsidR="00D448C6" w:rsidRPr="00D448C6" w:rsidRDefault="00D448C6" w:rsidP="00D448C6">
      <w:pPr>
        <w:ind w:firstLine="567"/>
        <w:jc w:val="both"/>
        <w:rPr>
          <w:sz w:val="16"/>
          <w:szCs w:val="16"/>
        </w:rPr>
      </w:pPr>
    </w:p>
    <w:sectPr w:rsidR="00D448C6" w:rsidRPr="00D448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4DD9"/>
    <w:multiLevelType w:val="hybridMultilevel"/>
    <w:tmpl w:val="0B82DE5C"/>
    <w:lvl w:ilvl="0" w:tplc="BA2008EE">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DC"/>
    <w:rsid w:val="001E0CC3"/>
    <w:rsid w:val="00373E86"/>
    <w:rsid w:val="004F0B7D"/>
    <w:rsid w:val="004F4830"/>
    <w:rsid w:val="005C41A5"/>
    <w:rsid w:val="005D36DC"/>
    <w:rsid w:val="007E6F1C"/>
    <w:rsid w:val="00A23195"/>
    <w:rsid w:val="00D448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00201-09C3-43A8-AAF7-3792EDD28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8C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48C6"/>
    <w:pPr>
      <w:ind w:left="720"/>
      <w:contextualSpacing/>
    </w:pPr>
  </w:style>
  <w:style w:type="table" w:styleId="a4">
    <w:name w:val="Table Grid"/>
    <w:basedOn w:val="a1"/>
    <w:uiPriority w:val="59"/>
    <w:rsid w:val="00D448C6"/>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0B7D"/>
    <w:rPr>
      <w:rFonts w:ascii="Segoe UI" w:hAnsi="Segoe UI" w:cs="Segoe UI"/>
      <w:sz w:val="18"/>
      <w:szCs w:val="18"/>
    </w:rPr>
  </w:style>
  <w:style w:type="character" w:customStyle="1" w:styleId="a6">
    <w:name w:val="Текст выноски Знак"/>
    <w:basedOn w:val="a0"/>
    <w:link w:val="a5"/>
    <w:uiPriority w:val="99"/>
    <w:semiHidden/>
    <w:rsid w:val="004F0B7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7940</Words>
  <Characters>4526</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cp:lastPrinted>2019-06-14T10:49:00Z</cp:lastPrinted>
  <dcterms:created xsi:type="dcterms:W3CDTF">2019-06-14T11:06:00Z</dcterms:created>
  <dcterms:modified xsi:type="dcterms:W3CDTF">2019-06-14T11:06:00Z</dcterms:modified>
</cp:coreProperties>
</file>