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E0" w:rsidRPr="00986FE8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4039E0" w:rsidRPr="00732977" w:rsidRDefault="004039E0" w:rsidP="004039E0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4039E0" w:rsidRPr="00C100CE" w:rsidRDefault="004039E0" w:rsidP="004039E0">
      <w:pPr>
        <w:spacing w:line="240" w:lineRule="exact"/>
        <w:jc w:val="both"/>
        <w:rPr>
          <w:sz w:val="28"/>
          <w:szCs w:val="28"/>
          <w:lang w:val="uk-UA"/>
        </w:rPr>
      </w:pPr>
    </w:p>
    <w:p w:rsidR="004039E0" w:rsidRPr="00732977" w:rsidRDefault="004039E0" w:rsidP="004039E0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1.Присвоїти поштову адресу :</w:t>
      </w:r>
    </w:p>
    <w:p w:rsidR="004039E0" w:rsidRPr="00D37ECC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Адміністративно-офісній будівлі з торговими приміщеннями та зупинкою міського громадського транспорту, загальною площею 184,5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товариство з додатковою відповідальністю  «Івано-Франківське обласне підприємство автобусних станцій») – вул. </w:t>
      </w:r>
      <w:proofErr w:type="spellStart"/>
      <w:r>
        <w:rPr>
          <w:sz w:val="28"/>
          <w:szCs w:val="28"/>
          <w:lang w:val="uk-UA"/>
        </w:rPr>
        <w:t>Горбачевського</w:t>
      </w:r>
      <w:proofErr w:type="spellEnd"/>
      <w:r>
        <w:rPr>
          <w:sz w:val="28"/>
          <w:szCs w:val="28"/>
          <w:lang w:val="uk-UA"/>
        </w:rPr>
        <w:t>, 14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BC35B8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 приміщенням</w:t>
      </w:r>
      <w:r w:rsidRPr="00BC35B8">
        <w:rPr>
          <w:sz w:val="28"/>
          <w:szCs w:val="28"/>
          <w:lang w:val="uk-UA"/>
        </w:rPr>
        <w:t xml:space="preserve">, </w:t>
      </w:r>
      <w:r w:rsidRPr="008967BE">
        <w:rPr>
          <w:sz w:val="28"/>
          <w:szCs w:val="28"/>
          <w:lang w:val="uk-UA"/>
        </w:rPr>
        <w:t xml:space="preserve">загальною площею 4820,3 </w:t>
      </w:r>
      <w:proofErr w:type="spellStart"/>
      <w:r w:rsidRPr="008967BE">
        <w:rPr>
          <w:sz w:val="28"/>
          <w:szCs w:val="28"/>
          <w:lang w:val="uk-UA"/>
        </w:rPr>
        <w:t>кв.м</w:t>
      </w:r>
      <w:proofErr w:type="spellEnd"/>
      <w:r w:rsidRPr="008967BE">
        <w:rPr>
          <w:sz w:val="28"/>
          <w:szCs w:val="28"/>
          <w:lang w:val="uk-UA"/>
        </w:rPr>
        <w:t xml:space="preserve"> </w:t>
      </w:r>
      <w:r w:rsidRPr="00BC35B8">
        <w:rPr>
          <w:sz w:val="28"/>
          <w:szCs w:val="28"/>
          <w:lang w:val="uk-UA"/>
        </w:rPr>
        <w:t>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-</w:t>
      </w:r>
      <w:r>
        <w:rPr>
          <w:sz w:val="28"/>
          <w:szCs w:val="28"/>
          <w:lang w:val="uk-UA"/>
        </w:rPr>
        <w:t xml:space="preserve"> </w:t>
      </w:r>
      <w:r w:rsidRPr="00BC35B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BC35B8">
        <w:rPr>
          <w:sz w:val="28"/>
          <w:szCs w:val="28"/>
          <w:lang w:val="uk-UA"/>
        </w:rPr>
        <w:t>Хриплинська,11</w:t>
      </w:r>
      <w:r w:rsidRPr="00BC35B8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Торговому павільйону, загальною площею 31,0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Галицька, 124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 xml:space="preserve">; 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3377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Індивідуальному житловому будинку, загальною площею 167,9 </w:t>
      </w:r>
      <w:proofErr w:type="spellStart"/>
      <w:r w:rsidRPr="00E013BE">
        <w:rPr>
          <w:sz w:val="28"/>
          <w:szCs w:val="28"/>
          <w:lang w:val="uk-UA"/>
        </w:rPr>
        <w:t>кв.м</w:t>
      </w:r>
      <w:proofErr w:type="spellEnd"/>
      <w:r w:rsidRPr="00E013BE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9</w:t>
      </w:r>
      <w:r w:rsidRPr="00E013BE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>4</w:t>
      </w:r>
      <w:r w:rsidRPr="00E013BE">
        <w:rPr>
          <w:sz w:val="28"/>
          <w:szCs w:val="28"/>
          <w:lang w:val="uk-UA"/>
        </w:rPr>
        <w:t xml:space="preserve"> </w:t>
      </w:r>
      <w:proofErr w:type="spellStart"/>
      <w:r w:rsidRPr="00E013BE">
        <w:rPr>
          <w:sz w:val="28"/>
          <w:szCs w:val="28"/>
          <w:lang w:val="uk-UA"/>
        </w:rPr>
        <w:t>кв.м</w:t>
      </w:r>
      <w:proofErr w:type="spellEnd"/>
      <w:r w:rsidRPr="00E013BE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фізичні особи</w:t>
      </w:r>
      <w:r w:rsidRPr="00E013BE">
        <w:rPr>
          <w:sz w:val="28"/>
          <w:szCs w:val="28"/>
          <w:lang w:val="uk-UA"/>
        </w:rPr>
        <w:t>) – вул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Ясінських</w:t>
      </w:r>
      <w:proofErr w:type="spellEnd"/>
      <w:r w:rsidRPr="00CB555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</w:t>
      </w:r>
      <w:r w:rsidRPr="009442C1">
        <w:rPr>
          <w:sz w:val="28"/>
          <w:szCs w:val="28"/>
          <w:vertAlign w:val="superscript"/>
          <w:lang w:val="uk-UA"/>
        </w:rPr>
        <w:t>А</w:t>
      </w:r>
      <w:r w:rsidRPr="00CB5557">
        <w:rPr>
          <w:sz w:val="28"/>
          <w:szCs w:val="28"/>
          <w:lang w:val="uk-UA"/>
        </w:rPr>
        <w:t>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252,9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186,1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Барвиста, 73;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121,4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62,9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34,9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(замовники : фізичні особи) – вул. Новий Світ, 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168,3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84,0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М. </w:t>
      </w:r>
      <w:proofErr w:type="spellStart"/>
      <w:r>
        <w:rPr>
          <w:sz w:val="28"/>
          <w:szCs w:val="28"/>
          <w:lang w:val="uk-UA"/>
        </w:rPr>
        <w:t>Мочульського</w:t>
      </w:r>
      <w:proofErr w:type="spellEnd"/>
      <w:r>
        <w:rPr>
          <w:sz w:val="28"/>
          <w:szCs w:val="28"/>
          <w:lang w:val="uk-UA"/>
        </w:rPr>
        <w:t>, 5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1.8.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246,0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84,4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 Рильського, 62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</w:t>
      </w:r>
      <w:r w:rsidRPr="00367DD3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91</w:t>
      </w:r>
      <w:r w:rsidRPr="00FB4C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 w:rsidRPr="00FB4C2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6</w:t>
      </w:r>
      <w:r w:rsidRPr="00FB4C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>
        <w:rPr>
          <w:color w:val="000000" w:themeColor="text1"/>
          <w:sz w:val="28"/>
          <w:szCs w:val="28"/>
          <w:lang w:val="uk-UA"/>
        </w:rPr>
        <w:t xml:space="preserve">площею господарських споруд </w:t>
      </w:r>
      <w:r w:rsidRPr="00E56F25">
        <w:rPr>
          <w:color w:val="000000" w:themeColor="text1"/>
          <w:sz w:val="28"/>
          <w:szCs w:val="28"/>
          <w:lang w:val="uk-UA"/>
        </w:rPr>
        <w:t xml:space="preserve">62,1 </w:t>
      </w:r>
      <w:proofErr w:type="spellStart"/>
      <w:r w:rsidRPr="00E56F25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 ) – </w:t>
      </w:r>
      <w:r w:rsidRPr="00595A0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</w:t>
      </w:r>
      <w:r w:rsidRPr="00595A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427</w:t>
      </w:r>
      <w:r>
        <w:rPr>
          <w:sz w:val="28"/>
          <w:szCs w:val="28"/>
          <w:vertAlign w:val="superscript"/>
          <w:lang w:val="uk-UA"/>
        </w:rPr>
        <w:t>А</w:t>
      </w:r>
      <w:r w:rsidRPr="00B439B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</w:t>
      </w:r>
      <w:r w:rsidRPr="00367DD3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90,9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56,5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 ) – </w:t>
      </w:r>
      <w:r w:rsidRPr="00595A0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</w:t>
      </w:r>
      <w:r w:rsidRPr="00595A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427</w:t>
      </w:r>
      <w:r>
        <w:rPr>
          <w:sz w:val="28"/>
          <w:szCs w:val="28"/>
          <w:vertAlign w:val="superscript"/>
          <w:lang w:val="uk-UA"/>
        </w:rPr>
        <w:t>А</w:t>
      </w:r>
      <w:r w:rsidRPr="00B439B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2;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41</w:t>
      </w:r>
      <w:r w:rsidRPr="00FB4C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29,0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</w:t>
      </w:r>
      <w:r w:rsidRPr="00765E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Лермонтова</w:t>
      </w:r>
      <w:r w:rsidRPr="00595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44/1</w:t>
      </w:r>
      <w:r w:rsidRPr="00595A00">
        <w:rPr>
          <w:sz w:val="28"/>
          <w:szCs w:val="28"/>
          <w:lang w:val="uk-UA"/>
        </w:rPr>
        <w:t>.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43</w:t>
      </w:r>
      <w:r w:rsidRPr="00FB4C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12,8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>
        <w:rPr>
          <w:color w:val="000000" w:themeColor="text1"/>
          <w:sz w:val="28"/>
          <w:szCs w:val="28"/>
          <w:lang w:val="uk-UA"/>
        </w:rPr>
        <w:t xml:space="preserve">площею господарських споруд </w:t>
      </w:r>
      <w:proofErr w:type="spellStart"/>
      <w:r w:rsidRPr="00425845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фізична особа) – вул.</w:t>
      </w:r>
      <w:r w:rsidRPr="00765E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Лєрмонтова</w:t>
      </w:r>
      <w:r w:rsidRPr="00595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44/2</w:t>
      </w:r>
      <w:r w:rsidRPr="00595A00">
        <w:rPr>
          <w:sz w:val="28"/>
          <w:szCs w:val="28"/>
          <w:lang w:val="uk-UA"/>
        </w:rPr>
        <w:t>.</w:t>
      </w:r>
    </w:p>
    <w:p w:rsidR="004039E0" w:rsidRPr="00E8644A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Квартирі, загальною площею 107,4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60,6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вул.</w:t>
      </w:r>
      <w:r w:rsidRPr="005A2E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Гетьмана П.Дорошенка, 18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, кв.48;</w:t>
      </w:r>
    </w:p>
    <w:p w:rsidR="004039E0" w:rsidRPr="00E8644A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Квартирі, загальною площею 77,1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15,0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- вул. Гетьмана П.Дорошенка, 18</w:t>
      </w:r>
      <w:r w:rsidRPr="00E8644A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, кв.48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4039E0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:</w:t>
      </w:r>
    </w:p>
    <w:p w:rsidR="004039E0" w:rsidRDefault="004039E0" w:rsidP="004039E0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2.1. В п.1.10.</w:t>
      </w:r>
      <w:r w:rsidRPr="00C100C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рішення виконавчого комітету міської ради від 01.11.2018 року № 1178 «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280,5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96,9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– вул. Євгена Коновальця, 303</w:t>
      </w:r>
      <w:r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;</w:t>
      </w:r>
      <w:r>
        <w:rPr>
          <w:color w:val="000000" w:themeColor="text1"/>
          <w:sz w:val="28"/>
          <w:szCs w:val="28"/>
          <w:lang w:val="uk-UA"/>
        </w:rPr>
        <w:t>»</w:t>
      </w:r>
    </w:p>
    <w:p w:rsidR="004039E0" w:rsidRDefault="004039E0" w:rsidP="004039E0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викласти в редакції : «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280,5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96,9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/>
          <w:sz w:val="28"/>
          <w:szCs w:val="28"/>
          <w:lang w:val="uk-UA"/>
        </w:rPr>
        <w:t>) – вул. Євгена Коновальця, 303</w:t>
      </w:r>
      <w:r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».</w:t>
      </w:r>
    </w:p>
    <w:p w:rsidR="004039E0" w:rsidRPr="00732977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32977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4039E0" w:rsidRPr="00732977" w:rsidRDefault="004039E0" w:rsidP="004039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32977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>
        <w:rPr>
          <w:sz w:val="28"/>
          <w:szCs w:val="28"/>
          <w:lang w:val="uk-UA"/>
        </w:rPr>
        <w:t xml:space="preserve"> В. Сусаніну</w:t>
      </w:r>
      <w:r w:rsidRPr="00732977">
        <w:rPr>
          <w:sz w:val="28"/>
          <w:szCs w:val="28"/>
          <w:lang w:val="uk-UA"/>
        </w:rPr>
        <w:t>.</w:t>
      </w:r>
    </w:p>
    <w:p w:rsidR="004039E0" w:rsidRDefault="004039E0" w:rsidP="004039E0">
      <w:pPr>
        <w:ind w:firstLine="567"/>
        <w:jc w:val="center"/>
        <w:rPr>
          <w:sz w:val="28"/>
          <w:szCs w:val="28"/>
          <w:lang w:val="uk-UA"/>
        </w:rPr>
      </w:pPr>
    </w:p>
    <w:p w:rsidR="004039E0" w:rsidRPr="00732977" w:rsidRDefault="004039E0" w:rsidP="004039E0">
      <w:pPr>
        <w:ind w:firstLine="567"/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spellStart"/>
      <w:r w:rsidRPr="00732977">
        <w:rPr>
          <w:sz w:val="28"/>
          <w:szCs w:val="28"/>
          <w:lang w:val="uk-UA"/>
        </w:rPr>
        <w:t>іський</w:t>
      </w:r>
      <w:proofErr w:type="spellEnd"/>
      <w:r w:rsidRPr="00732977">
        <w:rPr>
          <w:sz w:val="28"/>
          <w:szCs w:val="28"/>
          <w:lang w:val="uk-UA"/>
        </w:rPr>
        <w:t xml:space="preserve">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4039E0" w:rsidRDefault="004039E0" w:rsidP="004039E0">
      <w:pPr>
        <w:jc w:val="center"/>
        <w:rPr>
          <w:sz w:val="28"/>
          <w:szCs w:val="28"/>
          <w:lang w:val="uk-UA"/>
        </w:rPr>
      </w:pPr>
    </w:p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E0"/>
    <w:rsid w:val="001F7684"/>
    <w:rsid w:val="004039E0"/>
    <w:rsid w:val="006958F8"/>
    <w:rsid w:val="006B3647"/>
    <w:rsid w:val="00714193"/>
    <w:rsid w:val="007C2FDC"/>
    <w:rsid w:val="00945CC0"/>
    <w:rsid w:val="00AF2490"/>
    <w:rsid w:val="00BF291D"/>
    <w:rsid w:val="00E14A37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5E872-33B5-4232-B909-90136522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2019-01-04T08:28:00Z</dcterms:created>
  <dcterms:modified xsi:type="dcterms:W3CDTF">2019-01-04T08:28:00Z</dcterms:modified>
</cp:coreProperties>
</file>