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E5" w:rsidRDefault="00633DE5" w:rsidP="00633DE5">
      <w:pPr>
        <w:pStyle w:val="1"/>
        <w:rPr>
          <w:szCs w:val="24"/>
        </w:rPr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/>
    <w:p w:rsidR="00633DE5" w:rsidRDefault="00633DE5" w:rsidP="00633DE5">
      <w:pPr>
        <w:pStyle w:val="1"/>
        <w:rPr>
          <w:lang w:val="uk-UA"/>
        </w:rPr>
      </w:pPr>
    </w:p>
    <w:p w:rsidR="00633DE5" w:rsidRDefault="00633DE5" w:rsidP="00633DE5"/>
    <w:p w:rsidR="00633DE5" w:rsidRDefault="00633DE5" w:rsidP="00633DE5">
      <w:pPr>
        <w:pStyle w:val="1"/>
        <w:jc w:val="left"/>
        <w:rPr>
          <w:lang w:val="uk-UA"/>
        </w:rPr>
      </w:pPr>
      <w:r>
        <w:t xml:space="preserve">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</w:p>
    <w:p w:rsidR="00633DE5" w:rsidRDefault="00633DE5" w:rsidP="00633DE5">
      <w:pPr>
        <w:pStyle w:val="1"/>
        <w:jc w:val="left"/>
      </w:pPr>
      <w:proofErr w:type="spellStart"/>
      <w:r>
        <w:t>щодо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між</w:t>
      </w:r>
      <w:proofErr w:type="spellEnd"/>
    </w:p>
    <w:p w:rsidR="00633DE5" w:rsidRDefault="00633DE5" w:rsidP="00633DE5">
      <w:pPr>
        <w:pStyle w:val="1"/>
        <w:jc w:val="left"/>
      </w:pPr>
      <w:proofErr w:type="spellStart"/>
      <w:r>
        <w:t>професійно-технічними</w:t>
      </w:r>
      <w:proofErr w:type="spellEnd"/>
      <w:r>
        <w:t xml:space="preserve"> </w:t>
      </w:r>
    </w:p>
    <w:p w:rsidR="00633DE5" w:rsidRDefault="00633DE5" w:rsidP="00633DE5">
      <w:pPr>
        <w:pStyle w:val="1"/>
        <w:jc w:val="left"/>
      </w:pPr>
      <w:proofErr w:type="spellStart"/>
      <w:r>
        <w:t>навчальними</w:t>
      </w:r>
      <w:proofErr w:type="spellEnd"/>
      <w:r>
        <w:t xml:space="preserve"> закладами та </w:t>
      </w:r>
    </w:p>
    <w:p w:rsidR="00633DE5" w:rsidRDefault="00633DE5" w:rsidP="00633DE5">
      <w:pPr>
        <w:pStyle w:val="1"/>
        <w:jc w:val="left"/>
        <w:rPr>
          <w:szCs w:val="28"/>
        </w:rPr>
      </w:pPr>
      <w:proofErr w:type="spellStart"/>
      <w:r>
        <w:rPr>
          <w:szCs w:val="28"/>
        </w:rPr>
        <w:t>промисловими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підприємствами</w:t>
      </w:r>
      <w:proofErr w:type="spellEnd"/>
      <w:r>
        <w:rPr>
          <w:szCs w:val="28"/>
        </w:rPr>
        <w:t xml:space="preserve">  </w:t>
      </w:r>
    </w:p>
    <w:p w:rsidR="00633DE5" w:rsidRDefault="00633DE5" w:rsidP="00633DE5">
      <w:pPr>
        <w:rPr>
          <w:sz w:val="28"/>
          <w:szCs w:val="28"/>
        </w:rPr>
      </w:pPr>
      <w:r>
        <w:rPr>
          <w:sz w:val="28"/>
          <w:szCs w:val="28"/>
        </w:rPr>
        <w:t>і МСП міста</w:t>
      </w:r>
    </w:p>
    <w:p w:rsidR="00633DE5" w:rsidRDefault="00633DE5" w:rsidP="00633DE5">
      <w:pPr>
        <w:rPr>
          <w:sz w:val="28"/>
          <w:szCs w:val="28"/>
        </w:rPr>
      </w:pPr>
    </w:p>
    <w:p w:rsidR="00633DE5" w:rsidRDefault="00633DE5" w:rsidP="00633DE5"/>
    <w:p w:rsidR="00633DE5" w:rsidRDefault="00633DE5" w:rsidP="00633DE5">
      <w:pPr>
        <w:pStyle w:val="1"/>
        <w:ind w:firstLine="851"/>
        <w:jc w:val="both"/>
        <w:rPr>
          <w:lang w:val="uk-UA"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професійно-технічними</w:t>
      </w:r>
      <w:proofErr w:type="spellEnd"/>
      <w:r>
        <w:t xml:space="preserve"> </w:t>
      </w:r>
      <w:proofErr w:type="spellStart"/>
      <w:r>
        <w:t>навчальними</w:t>
      </w:r>
      <w:proofErr w:type="spellEnd"/>
      <w:r>
        <w:t xml:space="preserve"> закладами та </w:t>
      </w:r>
      <w:proofErr w:type="spellStart"/>
      <w:r>
        <w:t>промисловими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 і МСП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52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633DE5" w:rsidRDefault="00633DE5" w:rsidP="00633DE5">
      <w:pPr>
        <w:pStyle w:val="1"/>
        <w:ind w:firstLine="708"/>
        <w:jc w:val="both"/>
      </w:pPr>
      <w:r>
        <w:t xml:space="preserve"> </w:t>
      </w:r>
    </w:p>
    <w:p w:rsidR="00633DE5" w:rsidRDefault="00633DE5" w:rsidP="00633DE5">
      <w:pPr>
        <w:pStyle w:val="1"/>
        <w:ind w:firstLine="708"/>
      </w:pPr>
      <w:proofErr w:type="spellStart"/>
      <w:r>
        <w:t>вирішив</w:t>
      </w:r>
      <w:proofErr w:type="spellEnd"/>
      <w:r>
        <w:t>:</w:t>
      </w:r>
    </w:p>
    <w:p w:rsidR="00633DE5" w:rsidRDefault="00633DE5" w:rsidP="00633DE5">
      <w:pPr>
        <w:pStyle w:val="1"/>
        <w:jc w:val="both"/>
      </w:pPr>
      <w:r>
        <w:tab/>
      </w:r>
    </w:p>
    <w:p w:rsidR="00633DE5" w:rsidRDefault="00633DE5" w:rsidP="00633DE5">
      <w:pPr>
        <w:pStyle w:val="1"/>
        <w:ind w:firstLine="851"/>
        <w:jc w:val="both"/>
        <w:rPr>
          <w:szCs w:val="28"/>
        </w:rPr>
      </w:pPr>
      <w:r>
        <w:t xml:space="preserve">1.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професійно-технічними</w:t>
      </w:r>
      <w:proofErr w:type="spellEnd"/>
      <w:r>
        <w:t xml:space="preserve"> </w:t>
      </w:r>
      <w:proofErr w:type="spellStart"/>
      <w:r>
        <w:t>навчальними</w:t>
      </w:r>
      <w:proofErr w:type="spellEnd"/>
      <w:r>
        <w:t xml:space="preserve"> закладами та </w:t>
      </w:r>
      <w:proofErr w:type="spellStart"/>
      <w:r>
        <w:t>промисловими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 і МСП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633DE5" w:rsidRDefault="00633DE5" w:rsidP="00633DE5">
      <w:pPr>
        <w:pStyle w:val="1"/>
        <w:ind w:firstLine="851"/>
        <w:jc w:val="both"/>
        <w:rPr>
          <w:szCs w:val="24"/>
        </w:rPr>
      </w:pPr>
      <w:r>
        <w:t xml:space="preserve">2.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Богдана </w:t>
      </w:r>
      <w:proofErr w:type="spellStart"/>
      <w:r>
        <w:t>Білика</w:t>
      </w:r>
      <w:proofErr w:type="spellEnd"/>
      <w:r>
        <w:t xml:space="preserve">. </w:t>
      </w:r>
    </w:p>
    <w:p w:rsidR="00633DE5" w:rsidRDefault="00633DE5" w:rsidP="00633DE5">
      <w:pPr>
        <w:pStyle w:val="1"/>
        <w:ind w:firstLine="900"/>
        <w:rPr>
          <w:lang w:val="uk-UA"/>
        </w:rPr>
      </w:pPr>
    </w:p>
    <w:p w:rsidR="00633DE5" w:rsidRDefault="00633DE5" w:rsidP="00633DE5">
      <w:pPr>
        <w:pStyle w:val="1"/>
        <w:ind w:firstLine="900"/>
      </w:pPr>
    </w:p>
    <w:p w:rsidR="00633DE5" w:rsidRDefault="00633DE5" w:rsidP="00633DE5">
      <w:pPr>
        <w:pStyle w:val="1"/>
      </w:pPr>
    </w:p>
    <w:p w:rsidR="00633DE5" w:rsidRDefault="00633DE5" w:rsidP="00633DE5">
      <w:pPr>
        <w:pStyle w:val="1"/>
      </w:pPr>
    </w:p>
    <w:p w:rsidR="00633DE5" w:rsidRDefault="00633DE5" w:rsidP="00633DE5"/>
    <w:p w:rsidR="00633DE5" w:rsidRDefault="00633DE5" w:rsidP="00633DE5"/>
    <w:p w:rsidR="00633DE5" w:rsidRDefault="00633DE5" w:rsidP="00633DE5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Руслан </w:t>
      </w:r>
      <w:proofErr w:type="spellStart"/>
      <w:r>
        <w:t>Марцінків</w:t>
      </w:r>
      <w:proofErr w:type="spellEnd"/>
    </w:p>
    <w:p w:rsidR="00633DE5" w:rsidRDefault="00633DE5" w:rsidP="00633DE5">
      <w:pPr>
        <w:pStyle w:val="1"/>
      </w:pPr>
    </w:p>
    <w:p w:rsidR="00895BFE" w:rsidRDefault="00895BFE" w:rsidP="004E6CA4">
      <w:pPr>
        <w:ind w:firstLine="851"/>
        <w:jc w:val="center"/>
        <w:rPr>
          <w:sz w:val="28"/>
          <w:szCs w:val="28"/>
          <w:lang w:val="ru-RU"/>
        </w:rPr>
      </w:pPr>
    </w:p>
    <w:p w:rsidR="00633DE5" w:rsidRDefault="00633DE5" w:rsidP="004E6CA4">
      <w:pPr>
        <w:ind w:firstLine="851"/>
        <w:jc w:val="center"/>
        <w:rPr>
          <w:sz w:val="28"/>
          <w:szCs w:val="28"/>
          <w:lang w:val="ru-RU"/>
        </w:rPr>
      </w:pPr>
    </w:p>
    <w:p w:rsidR="00633DE5" w:rsidRPr="00633DE5" w:rsidRDefault="00633DE5" w:rsidP="004E6CA4">
      <w:pPr>
        <w:ind w:firstLine="851"/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D85E12" w:rsidRDefault="00D85E12" w:rsidP="004E6CA4">
      <w:pPr>
        <w:ind w:firstLine="851"/>
        <w:jc w:val="center"/>
        <w:rPr>
          <w:sz w:val="28"/>
          <w:szCs w:val="28"/>
        </w:rPr>
      </w:pPr>
    </w:p>
    <w:p w:rsidR="00D85E12" w:rsidRDefault="004E6CA4" w:rsidP="004E6CA4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Інформація</w:t>
      </w:r>
    </w:p>
    <w:p w:rsidR="00A3438C" w:rsidRDefault="00A3438C" w:rsidP="00D269F2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E6CA4">
        <w:rPr>
          <w:sz w:val="28"/>
          <w:szCs w:val="28"/>
        </w:rPr>
        <w:t xml:space="preserve">ро виконання Програми </w:t>
      </w:r>
      <w:r w:rsidR="00D269F2">
        <w:rPr>
          <w:sz w:val="28"/>
          <w:szCs w:val="28"/>
        </w:rPr>
        <w:t>щодо співпраці між професійно-технічними</w:t>
      </w:r>
    </w:p>
    <w:p w:rsidR="00D269F2" w:rsidRDefault="00D269F2" w:rsidP="00D269F2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навчальними закладами та промисловими підприємствами і МСП міста</w:t>
      </w:r>
    </w:p>
    <w:p w:rsidR="004E6CA4" w:rsidRDefault="004E6CA4" w:rsidP="00D269F2">
      <w:pPr>
        <w:ind w:firstLine="851"/>
        <w:jc w:val="center"/>
        <w:rPr>
          <w:sz w:val="28"/>
          <w:szCs w:val="28"/>
        </w:rPr>
      </w:pPr>
    </w:p>
    <w:p w:rsidR="00D85E12" w:rsidRDefault="00D85E12" w:rsidP="00D85E12">
      <w:pPr>
        <w:shd w:val="clear" w:color="auto" w:fill="FFFFFF"/>
        <w:spacing w:before="40" w:after="40"/>
        <w:ind w:firstLine="1134"/>
        <w:jc w:val="both"/>
        <w:rPr>
          <w:spacing w:val="-2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Н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>а сьогодні,</w:t>
      </w:r>
      <w:r w:rsidRPr="008F381F">
        <w:rPr>
          <w:rFonts w:ascii="TimesNewRomanPSMT" w:hAnsi="TimesNewRomanPSMT" w:cs="TimesNewRomanPSMT"/>
          <w:sz w:val="28"/>
          <w:szCs w:val="28"/>
          <w:lang w:eastAsia="uk-UA"/>
        </w:rPr>
        <w:t xml:space="preserve"> надзвичайно важливим аспектом є активізація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співпраці </w:t>
      </w:r>
      <w:r w:rsidRPr="008F381F">
        <w:rPr>
          <w:rFonts w:ascii="TimesNewRomanPSMT" w:hAnsi="TimesNewRomanPSMT" w:cs="TimesNewRomanPSMT"/>
          <w:sz w:val="28"/>
          <w:szCs w:val="28"/>
          <w:lang w:eastAsia="uk-UA"/>
        </w:rPr>
        <w:t xml:space="preserve">між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професійно-технічними </w:t>
      </w:r>
      <w:r w:rsidRPr="008F381F">
        <w:rPr>
          <w:rFonts w:ascii="TimesNewRomanPSMT" w:hAnsi="TimesNewRomanPSMT" w:cs="TimesNewRomanPSMT"/>
          <w:sz w:val="28"/>
          <w:szCs w:val="28"/>
          <w:lang w:eastAsia="uk-UA"/>
        </w:rPr>
        <w:t>навчальними закладами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, владою та підприємствами міста.</w:t>
      </w:r>
      <w:r w:rsidRPr="00D85E12">
        <w:rPr>
          <w:sz w:val="28"/>
          <w:szCs w:val="28"/>
        </w:rPr>
        <w:t xml:space="preserve"> </w:t>
      </w:r>
      <w:r w:rsidRPr="00D071BF">
        <w:rPr>
          <w:sz w:val="28"/>
          <w:szCs w:val="28"/>
        </w:rPr>
        <w:t xml:space="preserve">Відтак, для розв'язання назрілих проблем </w:t>
      </w:r>
      <w:r>
        <w:rPr>
          <w:sz w:val="28"/>
          <w:szCs w:val="28"/>
        </w:rPr>
        <w:t>діє</w:t>
      </w:r>
      <w:r w:rsidRPr="00D071B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а</w:t>
      </w:r>
      <w:r w:rsidRPr="00D071BF">
        <w:rPr>
          <w:sz w:val="28"/>
          <w:szCs w:val="28"/>
        </w:rPr>
        <w:t>, спрямован</w:t>
      </w:r>
      <w:r>
        <w:rPr>
          <w:sz w:val="28"/>
          <w:szCs w:val="28"/>
        </w:rPr>
        <w:t>а</w:t>
      </w:r>
      <w:r w:rsidRPr="00D071BF">
        <w:rPr>
          <w:sz w:val="28"/>
          <w:szCs w:val="28"/>
        </w:rPr>
        <w:t xml:space="preserve"> на налагодження співпраці між професійно-технічними навчальними закладами освіти та промисловими підприємствами міста</w:t>
      </w:r>
      <w:r>
        <w:rPr>
          <w:sz w:val="28"/>
          <w:szCs w:val="28"/>
        </w:rPr>
        <w:t>.</w:t>
      </w:r>
      <w:r w:rsidRPr="00D071BF">
        <w:rPr>
          <w:spacing w:val="-2"/>
          <w:sz w:val="28"/>
          <w:szCs w:val="28"/>
        </w:rPr>
        <w:t xml:space="preserve"> </w:t>
      </w:r>
    </w:p>
    <w:p w:rsidR="00D85E12" w:rsidRDefault="00D85E12" w:rsidP="00D85E12">
      <w:pPr>
        <w:shd w:val="clear" w:color="auto" w:fill="FFFFFF"/>
        <w:spacing w:before="40" w:after="40"/>
        <w:ind w:firstLine="1134"/>
        <w:jc w:val="both"/>
        <w:rPr>
          <w:b/>
          <w:bCs/>
          <w:color w:val="000000"/>
          <w:spacing w:val="1"/>
          <w:sz w:val="28"/>
          <w:szCs w:val="28"/>
        </w:rPr>
      </w:pPr>
      <w:r w:rsidRPr="00BB1275">
        <w:rPr>
          <w:color w:val="000000"/>
          <w:spacing w:val="-2"/>
          <w:sz w:val="28"/>
          <w:szCs w:val="28"/>
        </w:rPr>
        <w:t xml:space="preserve">Головною метою Програми є </w:t>
      </w:r>
      <w:r>
        <w:rPr>
          <w:color w:val="000000"/>
          <w:spacing w:val="-2"/>
          <w:sz w:val="28"/>
          <w:szCs w:val="28"/>
        </w:rPr>
        <w:t>нарощення потенціалу професійно-технічної освіти, усунення причин, які уповільнюють її адаптацію до соціально орієнтованої ринкової економіки, розвитку соціального партнерства з роботодавцями у сфері підготовки конкурентоспроможних фахівців на ринку праці, впровадження дуальної форми навчання</w:t>
      </w:r>
      <w:r>
        <w:rPr>
          <w:sz w:val="28"/>
          <w:szCs w:val="28"/>
        </w:rPr>
        <w:t xml:space="preserve">, а також </w:t>
      </w:r>
      <w:r>
        <w:rPr>
          <w:color w:val="000000"/>
          <w:spacing w:val="1"/>
          <w:sz w:val="28"/>
          <w:szCs w:val="28"/>
        </w:rPr>
        <w:t xml:space="preserve"> вирішення питання підготовки кваліфікованих кадрів для потреб підприємств, установ та організацій міста Івано-Франківська. </w:t>
      </w:r>
    </w:p>
    <w:p w:rsidR="00D269F2" w:rsidRDefault="00D269F2" w:rsidP="00D269F2">
      <w:pPr>
        <w:pStyle w:val="a7"/>
        <w:tabs>
          <w:tab w:val="clear" w:pos="959"/>
          <w:tab w:val="clear" w:pos="9590"/>
          <w:tab w:val="left" w:pos="10065"/>
        </w:tabs>
        <w:ind w:right="15"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Ефективність соціально-економічного розвитку міста тісно пов’язана із забезпеченням якості підготовки та раціонального використання робочої сили. Однією із складових пропозицій робочої сили на ринку праці міста є випускники професійно-технічних навчальних закладів. Для вирішення цих завдань 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місті функціонує 9 професійно-технічних навчальних закладів, які здійснюють підготовку робітничих кадрів за більш ніж 50 професіями.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>Проте, п</w:t>
      </w:r>
      <w:r w:rsidRPr="0094712A">
        <w:rPr>
          <w:spacing w:val="-2"/>
          <w:sz w:val="28"/>
          <w:szCs w:val="28"/>
        </w:rPr>
        <w:t xml:space="preserve">ідприємства нашого міста </w:t>
      </w:r>
      <w:r>
        <w:rPr>
          <w:spacing w:val="-2"/>
          <w:sz w:val="28"/>
          <w:szCs w:val="28"/>
        </w:rPr>
        <w:t>го</w:t>
      </w:r>
      <w:r w:rsidRPr="0094712A">
        <w:rPr>
          <w:spacing w:val="-2"/>
          <w:sz w:val="28"/>
          <w:szCs w:val="28"/>
        </w:rPr>
        <w:t>стро відчувають брак кваліфікованих робітників у різних галузях.</w:t>
      </w:r>
      <w:r w:rsidRPr="0094712A">
        <w:rPr>
          <w:color w:val="000000"/>
          <w:spacing w:val="-2"/>
          <w:sz w:val="28"/>
          <w:szCs w:val="28"/>
        </w:rPr>
        <w:t xml:space="preserve"> Особливої актуальності набуває питання підготовки професій, які відповідають вимогам сучасного виробництва і запитам роботодавців</w:t>
      </w:r>
      <w:r>
        <w:rPr>
          <w:color w:val="000000"/>
          <w:spacing w:val="-2"/>
          <w:sz w:val="28"/>
          <w:szCs w:val="28"/>
        </w:rPr>
        <w:t>.</w:t>
      </w:r>
      <w:r w:rsidRPr="0094712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Я</w:t>
      </w:r>
      <w:r w:rsidRPr="0094712A">
        <w:rPr>
          <w:spacing w:val="-2"/>
          <w:sz w:val="28"/>
          <w:szCs w:val="28"/>
        </w:rPr>
        <w:t xml:space="preserve">кість </w:t>
      </w:r>
      <w:proofErr w:type="spellStart"/>
      <w:r w:rsidRPr="0094712A">
        <w:rPr>
          <w:spacing w:val="-2"/>
          <w:sz w:val="28"/>
          <w:szCs w:val="28"/>
        </w:rPr>
        <w:t>професійно</w:t>
      </w:r>
      <w:proofErr w:type="spellEnd"/>
      <w:r w:rsidRPr="0094712A">
        <w:rPr>
          <w:spacing w:val="-2"/>
          <w:sz w:val="28"/>
          <w:szCs w:val="28"/>
        </w:rPr>
        <w:t xml:space="preserve">-практичної підготовки кваліфікованого робітника повинна відповідати не тільки вимогам освітніх стандартів, але й потребам роботодавця. </w:t>
      </w:r>
      <w:r>
        <w:rPr>
          <w:color w:val="000000"/>
          <w:sz w:val="28"/>
          <w:szCs w:val="28"/>
          <w:shd w:val="clear" w:color="auto" w:fill="FFFFFF"/>
        </w:rPr>
        <w:t>Також спостерігається ситуація, коли випускники професійно-технічних навчальних закладів не можуть працевлаштуватися за обраною професією, бо на неї немає попиту.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Серед фактів, які ускладнюють працевлаштування випускників ПТНЗ, варто виділити: неповна відповідність підготовки спеціаліста професійно-технічного навчального закладу сучасному ринку праці; дефіцит робочих місць за обраною спеціальністю; невідповідність компетенції випускни</w:t>
      </w:r>
      <w:r w:rsidR="00820BE7">
        <w:rPr>
          <w:color w:val="000000"/>
          <w:sz w:val="28"/>
          <w:szCs w:val="28"/>
          <w:shd w:val="clear" w:color="auto" w:fill="FFFFFF"/>
        </w:rPr>
        <w:t>ків вимогам роботодавця; недоста</w:t>
      </w:r>
      <w:r>
        <w:rPr>
          <w:color w:val="000000"/>
          <w:sz w:val="28"/>
          <w:szCs w:val="28"/>
          <w:shd w:val="clear" w:color="auto" w:fill="FFFFFF"/>
        </w:rPr>
        <w:t xml:space="preserve">тній рівень взаємодії між навчальними закладами ПТНЗ і роботодавцями; державне замовлення на підготовку кадрів не відповідає сучасним вимогам ринку праці; низькі офіційні зарплати молодих працівників; низький суспільний статус робітничих спеціальностей. </w:t>
      </w:r>
    </w:p>
    <w:p w:rsidR="00D85E12" w:rsidRDefault="00D85E12" w:rsidP="00D269F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D85E12" w:rsidRDefault="00D85E12" w:rsidP="00D269F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D85E12" w:rsidRDefault="00D85E1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</w:p>
    <w:p w:rsidR="00D85E12" w:rsidRDefault="00D85E1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</w:p>
    <w:p w:rsidR="00D269F2" w:rsidRPr="00B84B88" w:rsidRDefault="00D269F2" w:rsidP="00D269F2">
      <w:pPr>
        <w:autoSpaceDE w:val="0"/>
        <w:autoSpaceDN w:val="0"/>
        <w:adjustRightInd w:val="0"/>
        <w:ind w:firstLine="708"/>
        <w:jc w:val="center"/>
        <w:rPr>
          <w:rFonts w:ascii="TimesNewRomanPSMT" w:hAnsi="TimesNewRomanPSMT" w:cs="TimesNewRomanPSMT"/>
          <w:b/>
          <w:sz w:val="28"/>
          <w:szCs w:val="28"/>
          <w:lang w:eastAsia="uk-UA"/>
        </w:rPr>
      </w:pPr>
      <w:r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>Аналіз кількості випускників ПТ</w:t>
      </w:r>
      <w:r w:rsidR="00820BE7"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>НЗ</w:t>
      </w:r>
      <w:r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 xml:space="preserve"> у 2016-2018 роках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center"/>
        <w:rPr>
          <w:rFonts w:ascii="TimesNewRomanPSMT" w:hAnsi="TimesNewRomanPSMT" w:cs="TimesNewRomanPSMT"/>
          <w:sz w:val="28"/>
          <w:szCs w:val="28"/>
          <w:lang w:eastAsia="uk-UA"/>
        </w:rPr>
      </w:pP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276"/>
        <w:gridCol w:w="1021"/>
        <w:gridCol w:w="1276"/>
        <w:gridCol w:w="1134"/>
        <w:gridCol w:w="1304"/>
        <w:gridCol w:w="1106"/>
      </w:tblGrid>
      <w:tr w:rsidR="00D269F2" w:rsidRPr="00E51AB1" w:rsidTr="005E03EF">
        <w:trPr>
          <w:trHeight w:val="323"/>
        </w:trPr>
        <w:tc>
          <w:tcPr>
            <w:tcW w:w="426" w:type="dxa"/>
            <w:vMerge w:val="restart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lastRenderedPageBreak/>
              <w:t>№ з/п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Назва ПТНЗ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D269F2" w:rsidRPr="00E51AB1" w:rsidRDefault="00D269F2" w:rsidP="00D269F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201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6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 xml:space="preserve"> рік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269F2" w:rsidRPr="00E51AB1" w:rsidRDefault="00D269F2" w:rsidP="00D269F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201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7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 xml:space="preserve"> рік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269F2" w:rsidRPr="00E51AB1" w:rsidRDefault="00D269F2" w:rsidP="00D269F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201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8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 xml:space="preserve"> рік</w:t>
            </w:r>
          </w:p>
        </w:tc>
      </w:tr>
      <w:tr w:rsidR="00D269F2" w:rsidRPr="00E51AB1" w:rsidTr="00820BE7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</w:p>
        </w:tc>
        <w:tc>
          <w:tcPr>
            <w:tcW w:w="127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загальна к-ть випускників</w:t>
            </w:r>
          </w:p>
        </w:tc>
        <w:tc>
          <w:tcPr>
            <w:tcW w:w="1021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 міста</w:t>
            </w:r>
          </w:p>
          <w:p w:rsidR="00D269F2" w:rsidRPr="00E51AB1" w:rsidRDefault="00D269F2" w:rsidP="00820BE7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Ів</w:t>
            </w:r>
            <w:r w:rsidR="00820BE7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ано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-Фр</w:t>
            </w:r>
            <w:r w:rsidR="00820BE7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анківська</w:t>
            </w:r>
          </w:p>
        </w:tc>
        <w:tc>
          <w:tcPr>
            <w:tcW w:w="127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загальна к-ть випускників</w:t>
            </w:r>
          </w:p>
        </w:tc>
        <w:tc>
          <w:tcPr>
            <w:tcW w:w="1134" w:type="dxa"/>
            <w:shd w:val="clear" w:color="auto" w:fill="auto"/>
          </w:tcPr>
          <w:p w:rsidR="00820BE7" w:rsidRPr="00E51AB1" w:rsidRDefault="00820BE7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 міста</w:t>
            </w:r>
          </w:p>
          <w:p w:rsidR="00D269F2" w:rsidRPr="00E51AB1" w:rsidRDefault="00820BE7" w:rsidP="00820BE7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Ів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ано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-Фр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анківська</w:t>
            </w:r>
          </w:p>
        </w:tc>
        <w:tc>
          <w:tcPr>
            <w:tcW w:w="1304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загальна к-ть випускників</w:t>
            </w:r>
          </w:p>
        </w:tc>
        <w:tc>
          <w:tcPr>
            <w:tcW w:w="1106" w:type="dxa"/>
            <w:shd w:val="clear" w:color="auto" w:fill="auto"/>
          </w:tcPr>
          <w:p w:rsidR="00820BE7" w:rsidRPr="00E51AB1" w:rsidRDefault="00820BE7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з міста</w:t>
            </w:r>
          </w:p>
          <w:p w:rsidR="00D269F2" w:rsidRPr="00E51AB1" w:rsidRDefault="00820BE7" w:rsidP="00820BE7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Ів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ано</w:t>
            </w: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-Фр</w:t>
            </w: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анківська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Вище художнє професійне училище №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262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59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218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48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Івано-Франківський професійний будівельний ліцей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210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47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166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9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Івано-Франківський професійний політехнічний ліцей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91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123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16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ВПУ № 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256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230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37</w:t>
            </w:r>
          </w:p>
        </w:tc>
      </w:tr>
      <w:tr w:rsidR="00D269F2" w:rsidRPr="00E51AB1" w:rsidTr="00820BE7">
        <w:trPr>
          <w:trHeight w:val="829"/>
        </w:trPr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 w:rsidRPr="00E51AB1">
              <w:rPr>
                <w:sz w:val="26"/>
                <w:szCs w:val="26"/>
                <w:lang w:eastAsia="uk-UA"/>
              </w:rPr>
              <w:t>Івано-Франківський професійний ліцей автомобільного транспорту і будівництва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253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208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87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 w:rsidRPr="00E51AB1">
              <w:rPr>
                <w:sz w:val="26"/>
                <w:szCs w:val="26"/>
                <w:lang w:eastAsia="uk-UA"/>
              </w:rPr>
              <w:t>ЦПТО №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271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133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 w:rsidRPr="00E51AB1">
              <w:rPr>
                <w:sz w:val="26"/>
                <w:szCs w:val="26"/>
                <w:lang w:eastAsia="uk-UA"/>
              </w:rPr>
              <w:t>Івано-Франківський коледж ресторанного сервісу і туризму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376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8D79F0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305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8D79F0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121</w:t>
            </w:r>
          </w:p>
        </w:tc>
      </w:tr>
      <w:tr w:rsidR="00D269F2" w:rsidRPr="00E51AB1" w:rsidTr="00820BE7"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 w:rsidRPr="00E51AB1">
              <w:rPr>
                <w:sz w:val="26"/>
                <w:szCs w:val="26"/>
                <w:lang w:eastAsia="uk-UA"/>
              </w:rPr>
              <w:t>ВПУ №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159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F449A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54</w:t>
            </w:r>
          </w:p>
        </w:tc>
      </w:tr>
      <w:tr w:rsidR="00D269F2" w:rsidRPr="00E51AB1" w:rsidTr="00820BE7">
        <w:trPr>
          <w:trHeight w:val="662"/>
        </w:trPr>
        <w:tc>
          <w:tcPr>
            <w:tcW w:w="426" w:type="dxa"/>
            <w:shd w:val="clear" w:color="auto" w:fill="auto"/>
          </w:tcPr>
          <w:p w:rsidR="00D269F2" w:rsidRPr="00E51AB1" w:rsidRDefault="00D269F2" w:rsidP="003E56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</w:pPr>
            <w:r w:rsidRPr="00E51AB1">
              <w:rPr>
                <w:rFonts w:ascii="TimesNewRomanPSMT" w:hAnsi="TimesNewRomanPSMT" w:cs="TimesNewRomanPSMT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D269F2" w:rsidRPr="00E51AB1" w:rsidRDefault="00D269F2" w:rsidP="00820B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 w:rsidRPr="00E51AB1">
              <w:rPr>
                <w:sz w:val="26"/>
                <w:szCs w:val="26"/>
                <w:lang w:eastAsia="uk-UA"/>
              </w:rPr>
              <w:t>Івано-Франківське вище професійне училище сервісного обслуговування техніки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227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E51AB1" w:rsidRDefault="00EC22B8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E51AB1" w:rsidRDefault="00610892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147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E51AB1" w:rsidRDefault="00EC2E61" w:rsidP="003E56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26</w:t>
            </w:r>
          </w:p>
        </w:tc>
      </w:tr>
      <w:tr w:rsidR="00D269F2" w:rsidRPr="000F7711" w:rsidTr="00820BE7">
        <w:trPr>
          <w:trHeight w:val="662"/>
        </w:trPr>
        <w:tc>
          <w:tcPr>
            <w:tcW w:w="2410" w:type="dxa"/>
            <w:gridSpan w:val="2"/>
            <w:shd w:val="clear" w:color="auto" w:fill="auto"/>
          </w:tcPr>
          <w:p w:rsidR="00D269F2" w:rsidRPr="000F7711" w:rsidRDefault="00D269F2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:rsidR="00D269F2" w:rsidRPr="000F7711" w:rsidRDefault="00D269F2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Разом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0F7711" w:rsidRDefault="00EC22B8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2165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D269F2" w:rsidRPr="000F7711" w:rsidRDefault="00EC22B8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710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9F2" w:rsidRPr="000F7711" w:rsidRDefault="00EC22B8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1892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9F2" w:rsidRPr="000F7711" w:rsidRDefault="00EC22B8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617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D269F2" w:rsidRPr="000F7711" w:rsidRDefault="00610892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0F7711">
              <w:rPr>
                <w:b/>
                <w:sz w:val="26"/>
                <w:szCs w:val="26"/>
                <w:lang w:eastAsia="uk-UA"/>
              </w:rPr>
              <w:t>1827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D269F2" w:rsidRPr="000F7711" w:rsidRDefault="00EF449A" w:rsidP="003E562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531</w:t>
            </w:r>
          </w:p>
        </w:tc>
      </w:tr>
    </w:tbl>
    <w:p w:rsidR="00D269F2" w:rsidRPr="00E51AB1" w:rsidRDefault="00D269F2" w:rsidP="00D269F2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26"/>
          <w:szCs w:val="26"/>
          <w:lang w:eastAsia="uk-UA"/>
        </w:rPr>
      </w:pP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За результатами проведеного аналізу кількості випускників ПТНЗ відслідковується наступна динаміка, а саме:</w:t>
      </w:r>
    </w:p>
    <w:p w:rsidR="00D269F2" w:rsidRDefault="00D269F2" w:rsidP="00820BE7">
      <w:pPr>
        <w:numPr>
          <w:ilvl w:val="0"/>
          <w:numId w:val="2"/>
        </w:numPr>
        <w:autoSpaceDE w:val="0"/>
        <w:autoSpaceDN w:val="0"/>
        <w:adjustRightInd w:val="0"/>
        <w:ind w:hanging="577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lastRenderedPageBreak/>
        <w:t xml:space="preserve">у 2016 році – 2165 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>випускників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;</w:t>
      </w:r>
    </w:p>
    <w:p w:rsidR="00D269F2" w:rsidRDefault="00D269F2" w:rsidP="00820BE7">
      <w:pPr>
        <w:numPr>
          <w:ilvl w:val="0"/>
          <w:numId w:val="2"/>
        </w:numPr>
        <w:autoSpaceDE w:val="0"/>
        <w:autoSpaceDN w:val="0"/>
        <w:adjustRightInd w:val="0"/>
        <w:ind w:hanging="577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у 2017 році – 1892 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>випускники;</w:t>
      </w:r>
    </w:p>
    <w:p w:rsidR="00D269F2" w:rsidRPr="00053C2D" w:rsidRDefault="00D269F2" w:rsidP="00820BE7">
      <w:pPr>
        <w:numPr>
          <w:ilvl w:val="0"/>
          <w:numId w:val="2"/>
        </w:numPr>
        <w:autoSpaceDE w:val="0"/>
        <w:autoSpaceDN w:val="0"/>
        <w:adjustRightInd w:val="0"/>
        <w:ind w:left="851" w:firstLine="0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 w:rsidRPr="00053C2D">
        <w:rPr>
          <w:rFonts w:ascii="TimesNewRomanPSMT" w:hAnsi="TimesNewRomanPSMT" w:cs="TimesNewRomanPSMT"/>
          <w:sz w:val="28"/>
          <w:szCs w:val="28"/>
          <w:lang w:eastAsia="uk-UA"/>
        </w:rPr>
        <w:t xml:space="preserve">у 2018 році  </w:t>
      </w:r>
      <w:r w:rsidR="00610892" w:rsidRPr="00053C2D">
        <w:rPr>
          <w:rFonts w:ascii="TimesNewRomanPSMT" w:hAnsi="TimesNewRomanPSMT" w:cs="TimesNewRomanPSMT"/>
          <w:sz w:val="28"/>
          <w:szCs w:val="28"/>
          <w:lang w:eastAsia="uk-UA"/>
        </w:rPr>
        <w:t xml:space="preserve">– 1827 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>випускників</w:t>
      </w:r>
      <w:r w:rsidR="00610892" w:rsidRPr="00053C2D">
        <w:rPr>
          <w:rFonts w:ascii="TimesNewRomanPSMT" w:hAnsi="TimesNewRomanPSMT" w:cs="TimesNewRomanPSMT"/>
          <w:sz w:val="28"/>
          <w:szCs w:val="28"/>
          <w:lang w:eastAsia="uk-UA"/>
        </w:rPr>
        <w:t>.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Тобто, з кожним роком спостерігається тенденція до зменшення кількості випускників професійно-технічних навчальних закладів, а це в свою чергу призводить до зменшення працівників робітничих спеціальностей, що негативно впливає на задоволення потреб в робітничих кадрах підприємств міста.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Аналізуючи рівень працевлаштування випускників ПТНЗ можна сказати, що він є досить високим, про що свідчать наступні дані, зокрема:</w:t>
      </w:r>
    </w:p>
    <w:p w:rsidR="00D269F2" w:rsidRDefault="00D269F2" w:rsidP="00820BE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у 2016 році працевлаштовано 1650 випускник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>ів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, що становить 76% від загальної кількості випускників; із них 43% – в м.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Івано-Франківську та приміських селах;</w:t>
      </w:r>
    </w:p>
    <w:p w:rsidR="00610892" w:rsidRDefault="00D269F2" w:rsidP="00820BE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>у 2017 році працевлаштовано 1351 випускника, що становить 83% від загальної кількості випускників; із них 45% – в</w:t>
      </w:r>
      <w:r w:rsidRPr="00C17076">
        <w:rPr>
          <w:rFonts w:ascii="TimesNewRomanPSMT" w:hAnsi="TimesNewRomanPSMT" w:cs="TimesNewRomanPSMT"/>
          <w:sz w:val="28"/>
          <w:szCs w:val="28"/>
          <w:lang w:eastAsia="uk-UA"/>
        </w:rPr>
        <w:t xml:space="preserve"> м. Івано-Франківську та приміських селах</w:t>
      </w:r>
      <w:r w:rsidR="00610892">
        <w:rPr>
          <w:rFonts w:ascii="TimesNewRomanPSMT" w:hAnsi="TimesNewRomanPSMT" w:cs="TimesNewRomanPSMT"/>
          <w:sz w:val="28"/>
          <w:szCs w:val="28"/>
          <w:lang w:eastAsia="uk-UA"/>
        </w:rPr>
        <w:t>;</w:t>
      </w:r>
    </w:p>
    <w:p w:rsidR="00D269F2" w:rsidRPr="00C17076" w:rsidRDefault="00610892" w:rsidP="00820BE7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у 2018 році працевлаштовано 1336 випускників, що становить </w:t>
      </w:r>
      <w:r w:rsidR="00E0253A">
        <w:rPr>
          <w:rFonts w:ascii="TimesNewRomanPSMT" w:hAnsi="TimesNewRomanPSMT" w:cs="TimesNewRomanPSMT"/>
          <w:sz w:val="28"/>
          <w:szCs w:val="28"/>
          <w:lang w:eastAsia="uk-UA"/>
        </w:rPr>
        <w:t xml:space="preserve">73 %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від загальної кількості випускників, із них </w:t>
      </w:r>
      <w:r w:rsidR="00E0253A">
        <w:rPr>
          <w:rFonts w:ascii="TimesNewRomanPSMT" w:hAnsi="TimesNewRomanPSMT" w:cs="TimesNewRomanPSMT"/>
          <w:sz w:val="28"/>
          <w:szCs w:val="28"/>
          <w:lang w:eastAsia="uk-UA"/>
        </w:rPr>
        <w:t xml:space="preserve">55,5%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в м.</w:t>
      </w:r>
      <w:r w:rsidR="00820BE7">
        <w:rPr>
          <w:rFonts w:ascii="TimesNewRomanPSMT" w:hAnsi="TimesNewRomanPSMT" w:cs="TimesNewRomanPSMT"/>
          <w:sz w:val="28"/>
          <w:szCs w:val="28"/>
          <w:lang w:eastAsia="uk-UA"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 w:eastAsia="uk-UA"/>
        </w:rPr>
        <w:t>Івано-Франківську та при</w:t>
      </w:r>
      <w:r w:rsidR="00E0253A">
        <w:rPr>
          <w:rFonts w:ascii="TimesNewRomanPSMT" w:hAnsi="TimesNewRomanPSMT" w:cs="TimesNewRomanPSMT"/>
          <w:sz w:val="28"/>
          <w:szCs w:val="28"/>
          <w:lang w:eastAsia="uk-UA"/>
        </w:rPr>
        <w:t>міських селах.</w:t>
      </w:r>
      <w:r w:rsidR="00D269F2" w:rsidRPr="00C17076">
        <w:rPr>
          <w:rFonts w:ascii="TimesNewRomanPSMT" w:hAnsi="TimesNewRomanPSMT" w:cs="TimesNewRomanPSMT"/>
          <w:sz w:val="28"/>
          <w:szCs w:val="28"/>
          <w:lang w:eastAsia="uk-UA"/>
        </w:rPr>
        <w:t xml:space="preserve">  </w:t>
      </w:r>
    </w:p>
    <w:p w:rsidR="00D269F2" w:rsidRDefault="00D269F2" w:rsidP="00D269F2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  <w:lang w:eastAsia="uk-UA"/>
        </w:rPr>
      </w:pPr>
      <w:r>
        <w:rPr>
          <w:rFonts w:ascii="TimesNewRomanPSMT" w:hAnsi="TimesNewRomanPSMT" w:cs="TimesNewRomanPSMT"/>
          <w:sz w:val="28"/>
          <w:szCs w:val="28"/>
          <w:lang w:eastAsia="uk-UA"/>
        </w:rPr>
        <w:t xml:space="preserve">Слід зауважити, що серед вступників до ПТНЗ частка учнів з міста є досить низькою, а це в свою чергу впливає на кількість працівників робітничих спеціальностей із міста Івано-Франківськ та приміських сіл.   </w:t>
      </w:r>
      <w:r w:rsidRPr="008F381F">
        <w:rPr>
          <w:rFonts w:ascii="TimesNewRomanPSMT" w:hAnsi="TimesNewRomanPSMT" w:cs="TimesNewRomanPSMT"/>
          <w:sz w:val="28"/>
          <w:szCs w:val="28"/>
          <w:lang w:eastAsia="uk-UA"/>
        </w:rPr>
        <w:t xml:space="preserve"> </w:t>
      </w:r>
    </w:p>
    <w:p w:rsidR="00D269F2" w:rsidRPr="00B84B88" w:rsidRDefault="00D269F2" w:rsidP="00D269F2">
      <w:pPr>
        <w:autoSpaceDE w:val="0"/>
        <w:autoSpaceDN w:val="0"/>
        <w:adjustRightInd w:val="0"/>
        <w:ind w:firstLine="708"/>
        <w:jc w:val="center"/>
        <w:rPr>
          <w:rFonts w:ascii="TimesNewRomanPSMT" w:hAnsi="TimesNewRomanPSMT" w:cs="TimesNewRomanPSMT"/>
          <w:b/>
          <w:sz w:val="28"/>
          <w:szCs w:val="28"/>
          <w:lang w:eastAsia="uk-UA"/>
        </w:rPr>
      </w:pPr>
      <w:r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 xml:space="preserve">Аналіз кількості вступників ПТНЗ у 2017 </w:t>
      </w:r>
      <w:r w:rsidR="004375B2"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 xml:space="preserve">-2018 </w:t>
      </w:r>
      <w:r w:rsidRPr="00B84B88">
        <w:rPr>
          <w:rFonts w:ascii="TimesNewRomanPSMT" w:hAnsi="TimesNewRomanPSMT" w:cs="TimesNewRomanPSMT"/>
          <w:b/>
          <w:sz w:val="28"/>
          <w:szCs w:val="28"/>
          <w:lang w:eastAsia="uk-UA"/>
        </w:rPr>
        <w:t>році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119"/>
        <w:gridCol w:w="1559"/>
        <w:gridCol w:w="1417"/>
        <w:gridCol w:w="1560"/>
        <w:gridCol w:w="1418"/>
      </w:tblGrid>
      <w:tr w:rsidR="004375B2" w:rsidRPr="00DA7832" w:rsidTr="00820BE7">
        <w:trPr>
          <w:trHeight w:val="1092"/>
        </w:trPr>
        <w:tc>
          <w:tcPr>
            <w:tcW w:w="596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Назва ПТНЗ</w:t>
            </w:r>
          </w:p>
        </w:tc>
        <w:tc>
          <w:tcPr>
            <w:tcW w:w="1559" w:type="dxa"/>
            <w:shd w:val="clear" w:color="auto" w:fill="auto"/>
          </w:tcPr>
          <w:p w:rsidR="004375B2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Загальна кількість вступників</w:t>
            </w:r>
          </w:p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 2017р.</w:t>
            </w:r>
          </w:p>
        </w:tc>
        <w:tc>
          <w:tcPr>
            <w:tcW w:w="1417" w:type="dxa"/>
            <w:shd w:val="clear" w:color="auto" w:fill="auto"/>
          </w:tcPr>
          <w:p w:rsidR="004375B2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Кількість вступників з міста</w:t>
            </w:r>
          </w:p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Ів.-</w:t>
            </w:r>
            <w:proofErr w:type="spellStart"/>
            <w:r w:rsidRPr="008E2186">
              <w:rPr>
                <w:sz w:val="28"/>
                <w:szCs w:val="28"/>
                <w:lang w:eastAsia="uk-UA"/>
              </w:rPr>
              <w:t>Фр</w:t>
            </w:r>
            <w:proofErr w:type="spellEnd"/>
            <w:r w:rsidRPr="008E2186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4375B2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Загальна кількість вступників</w:t>
            </w:r>
          </w:p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 2018 р.</w:t>
            </w:r>
          </w:p>
        </w:tc>
        <w:tc>
          <w:tcPr>
            <w:tcW w:w="1418" w:type="dxa"/>
          </w:tcPr>
          <w:p w:rsidR="004375B2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Кількість вступників з міста</w:t>
            </w:r>
          </w:p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Ів.-</w:t>
            </w:r>
            <w:proofErr w:type="spellStart"/>
            <w:r w:rsidRPr="008E2186">
              <w:rPr>
                <w:sz w:val="28"/>
                <w:szCs w:val="28"/>
                <w:lang w:eastAsia="uk-UA"/>
              </w:rPr>
              <w:t>Фр</w:t>
            </w:r>
            <w:proofErr w:type="spellEnd"/>
            <w:r w:rsidRPr="008E2186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4375B2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Вище художнє професійне училище</w:t>
            </w:r>
          </w:p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55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Івано-Франківський професійний будівельний ліцей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Івано-Франківський професійний політехнічний ліцей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ВПУ № 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227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54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Івано-Франківський професійний ліцей автомобільного транспорту і будівництва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49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ЦПТО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44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lastRenderedPageBreak/>
              <w:t>7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Івано-Франківський коледж ресторанного сервісу і туризму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38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ВПУ № 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</w:t>
            </w:r>
          </w:p>
        </w:tc>
      </w:tr>
      <w:tr w:rsidR="004375B2" w:rsidRPr="00DA7832" w:rsidTr="00820BE7">
        <w:tc>
          <w:tcPr>
            <w:tcW w:w="596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4375B2" w:rsidRPr="008E2186" w:rsidRDefault="004375B2" w:rsidP="00820B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Івано-Франківське вище професійне училище сервісного обслуговування техніки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8E2186">
              <w:rPr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1418" w:type="dxa"/>
            <w:vAlign w:val="center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</w:t>
            </w:r>
          </w:p>
        </w:tc>
      </w:tr>
      <w:tr w:rsidR="004375B2" w:rsidRPr="008E2186" w:rsidTr="004375B2">
        <w:tc>
          <w:tcPr>
            <w:tcW w:w="3715" w:type="dxa"/>
            <w:gridSpan w:val="2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</w:pPr>
            <w:r w:rsidRPr="008E2186"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</w:pPr>
            <w:r w:rsidRPr="008E2186"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  <w:t>1968</w:t>
            </w:r>
          </w:p>
        </w:tc>
        <w:tc>
          <w:tcPr>
            <w:tcW w:w="1417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</w:pPr>
            <w:r w:rsidRPr="008E2186"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  <w:t>511</w:t>
            </w:r>
          </w:p>
        </w:tc>
        <w:tc>
          <w:tcPr>
            <w:tcW w:w="1560" w:type="dxa"/>
            <w:shd w:val="clear" w:color="auto" w:fill="auto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</w:pPr>
            <w:r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  <w:t>1784</w:t>
            </w:r>
          </w:p>
        </w:tc>
        <w:tc>
          <w:tcPr>
            <w:tcW w:w="1418" w:type="dxa"/>
          </w:tcPr>
          <w:p w:rsidR="004375B2" w:rsidRPr="008E2186" w:rsidRDefault="004375B2" w:rsidP="004375B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</w:pPr>
            <w:r>
              <w:rPr>
                <w:rFonts w:ascii="TimesNewRomanPSMT" w:hAnsi="TimesNewRomanPSMT" w:cs="TimesNewRomanPSMT"/>
                <w:b/>
                <w:sz w:val="28"/>
                <w:szCs w:val="28"/>
                <w:lang w:eastAsia="uk-UA"/>
              </w:rPr>
              <w:t>363</w:t>
            </w:r>
          </w:p>
        </w:tc>
      </w:tr>
    </w:tbl>
    <w:p w:rsidR="00D269F2" w:rsidRDefault="00D269F2" w:rsidP="00D26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Управлінням праці Івано-Франківської міської ради здійснюється постійний моніторинг ринку праці в м. Івано-Франківську, в тому числі щодо забезпечення робітничими кадрами підприємств, установ та організацій міста. Так, станом на </w:t>
      </w:r>
      <w:r w:rsidR="00EF418A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950454" w:rsidRPr="00950454">
        <w:rPr>
          <w:sz w:val="28"/>
          <w:szCs w:val="28"/>
          <w:lang w:val="ru-RU"/>
        </w:rPr>
        <w:t>1</w:t>
      </w:r>
      <w:r w:rsidR="00EF418A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.201</w:t>
      </w:r>
      <w:r w:rsidR="00950454" w:rsidRPr="00950454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року в міському центрі зайнятості зареєстровано </w:t>
      </w:r>
      <w:r w:rsidR="00950454" w:rsidRPr="00950454">
        <w:rPr>
          <w:sz w:val="28"/>
          <w:szCs w:val="28"/>
          <w:lang w:val="ru-RU"/>
        </w:rPr>
        <w:t>1324</w:t>
      </w:r>
      <w:r>
        <w:rPr>
          <w:sz w:val="28"/>
          <w:szCs w:val="28"/>
        </w:rPr>
        <w:t xml:space="preserve"> актуальн</w:t>
      </w:r>
      <w:r w:rsidR="00EF418A">
        <w:rPr>
          <w:sz w:val="28"/>
          <w:szCs w:val="28"/>
        </w:rPr>
        <w:t>і</w:t>
      </w:r>
      <w:r>
        <w:rPr>
          <w:sz w:val="28"/>
          <w:szCs w:val="28"/>
        </w:rPr>
        <w:t xml:space="preserve"> вакансі</w:t>
      </w:r>
      <w:r w:rsidR="00EF418A">
        <w:rPr>
          <w:sz w:val="28"/>
          <w:szCs w:val="28"/>
        </w:rPr>
        <w:t>ї</w:t>
      </w:r>
      <w:r>
        <w:rPr>
          <w:sz w:val="28"/>
          <w:szCs w:val="28"/>
        </w:rPr>
        <w:t xml:space="preserve">, із них </w:t>
      </w:r>
      <w:r w:rsidR="00950454" w:rsidRPr="00950454">
        <w:rPr>
          <w:sz w:val="28"/>
          <w:szCs w:val="28"/>
          <w:lang w:val="ru-RU"/>
        </w:rPr>
        <w:t>830</w:t>
      </w:r>
      <w:r>
        <w:rPr>
          <w:sz w:val="28"/>
          <w:szCs w:val="28"/>
        </w:rPr>
        <w:t xml:space="preserve"> </w:t>
      </w:r>
      <w:r w:rsidR="00EF418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 робітничими професіями, </w:t>
      </w:r>
      <w:r w:rsidR="00EF418A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="00950454" w:rsidRPr="00950454">
        <w:rPr>
          <w:sz w:val="28"/>
          <w:szCs w:val="28"/>
          <w:lang w:val="ru-RU"/>
        </w:rPr>
        <w:t xml:space="preserve">63 </w:t>
      </w:r>
      <w:r>
        <w:rPr>
          <w:sz w:val="28"/>
          <w:szCs w:val="28"/>
        </w:rPr>
        <w:t xml:space="preserve">% від загальної кількості вакансій. </w:t>
      </w:r>
    </w:p>
    <w:p w:rsidR="00D269F2" w:rsidRDefault="00D269F2" w:rsidP="00D26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Крім того, управлінням праці був проведений моніторинг вакансій на підприємств</w:t>
      </w:r>
      <w:r w:rsidR="00EF418A">
        <w:rPr>
          <w:sz w:val="28"/>
          <w:szCs w:val="28"/>
        </w:rPr>
        <w:t>ах</w:t>
      </w:r>
      <w:r>
        <w:rPr>
          <w:sz w:val="28"/>
          <w:szCs w:val="28"/>
        </w:rPr>
        <w:t xml:space="preserve"> комунальної сфери. Найбільш затребувані професії, які на даний час потребують комунальні підприємства</w:t>
      </w:r>
      <w:r w:rsidR="00EF418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642DB">
        <w:rPr>
          <w:sz w:val="28"/>
          <w:szCs w:val="28"/>
        </w:rPr>
        <w:t>слюсарі, електромонтери, водії, електрогазозварники. Варто зазначити, що у 2017 році затребуваними професіями були</w:t>
      </w:r>
      <w:r>
        <w:rPr>
          <w:sz w:val="28"/>
          <w:szCs w:val="28"/>
        </w:rPr>
        <w:t xml:space="preserve"> електромонтери, асфальтобетонники, трактористи, водії та майстри з експлуатації мереж зовнішнього освітлення та інші. </w:t>
      </w:r>
      <w:r w:rsidR="00EB2151">
        <w:rPr>
          <w:sz w:val="28"/>
          <w:szCs w:val="28"/>
        </w:rPr>
        <w:t>О</w:t>
      </w:r>
      <w:r w:rsidR="00EF418A">
        <w:rPr>
          <w:sz w:val="28"/>
          <w:szCs w:val="28"/>
        </w:rPr>
        <w:t>т</w:t>
      </w:r>
      <w:r w:rsidR="00EB2151">
        <w:rPr>
          <w:sz w:val="28"/>
          <w:szCs w:val="28"/>
        </w:rPr>
        <w:t xml:space="preserve">же, брак робітничих кадрів відчувається постійно. </w:t>
      </w:r>
    </w:p>
    <w:p w:rsidR="004B0BCF" w:rsidRDefault="00932E80" w:rsidP="004B0BC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47CEC" w:rsidRPr="00547CEC">
        <w:rPr>
          <w:sz w:val="28"/>
          <w:szCs w:val="28"/>
        </w:rPr>
        <w:t xml:space="preserve"> метою налагодження співпраці між професійно-технічними закладами освіти та підприємствами міста продовжує свою роботу міська Дорадча рада керівників промислових підприємств та керівників закладів професійної технічної освіти. Впродовж </w:t>
      </w:r>
      <w:r w:rsidR="00297739">
        <w:rPr>
          <w:sz w:val="28"/>
          <w:szCs w:val="28"/>
        </w:rPr>
        <w:t>201</w:t>
      </w:r>
      <w:r w:rsidR="004B0BCF">
        <w:rPr>
          <w:sz w:val="28"/>
          <w:szCs w:val="28"/>
        </w:rPr>
        <w:t>8</w:t>
      </w:r>
      <w:r w:rsidR="00297739">
        <w:rPr>
          <w:sz w:val="28"/>
          <w:szCs w:val="28"/>
        </w:rPr>
        <w:t xml:space="preserve"> </w:t>
      </w:r>
      <w:r w:rsidR="004B0BCF">
        <w:rPr>
          <w:sz w:val="28"/>
          <w:szCs w:val="28"/>
        </w:rPr>
        <w:t>року проведено 3</w:t>
      </w:r>
      <w:r w:rsidR="00547CEC" w:rsidRPr="00547CEC">
        <w:rPr>
          <w:sz w:val="28"/>
          <w:szCs w:val="28"/>
        </w:rPr>
        <w:t xml:space="preserve"> засідання Дорадчої ради.</w:t>
      </w:r>
    </w:p>
    <w:p w:rsidR="00E86CE4" w:rsidRDefault="00BB34E9" w:rsidP="00E86C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засідання Дорадчої ради запрошувались керівники промислових та комунальних підприємств, </w:t>
      </w:r>
      <w:r w:rsidR="00791144">
        <w:rPr>
          <w:sz w:val="28"/>
          <w:szCs w:val="28"/>
        </w:rPr>
        <w:t xml:space="preserve">професійно-технічних навчальних закладів, </w:t>
      </w:r>
      <w:r>
        <w:rPr>
          <w:sz w:val="28"/>
          <w:szCs w:val="28"/>
        </w:rPr>
        <w:t xml:space="preserve">керівники </w:t>
      </w:r>
      <w:r w:rsidR="007A6FB3">
        <w:rPr>
          <w:sz w:val="28"/>
          <w:szCs w:val="28"/>
        </w:rPr>
        <w:t xml:space="preserve">управління професійно-технічної, вищої освіти та молодіжної політики облдержадміністрації, </w:t>
      </w:r>
      <w:r>
        <w:rPr>
          <w:sz w:val="28"/>
          <w:szCs w:val="28"/>
        </w:rPr>
        <w:t>департамен</w:t>
      </w:r>
      <w:r w:rsidR="007A6FB3">
        <w:rPr>
          <w:sz w:val="28"/>
          <w:szCs w:val="28"/>
        </w:rPr>
        <w:t>ту</w:t>
      </w:r>
      <w:r>
        <w:rPr>
          <w:sz w:val="28"/>
          <w:szCs w:val="28"/>
        </w:rPr>
        <w:t xml:space="preserve"> освіти та науки місь</w:t>
      </w:r>
      <w:r w:rsidR="00791144">
        <w:rPr>
          <w:sz w:val="28"/>
          <w:szCs w:val="28"/>
        </w:rPr>
        <w:t xml:space="preserve">кої ради, депутати міської ради та ін. Обговорювались питання співпраці закладів </w:t>
      </w:r>
      <w:proofErr w:type="spellStart"/>
      <w:r w:rsidR="00791144">
        <w:rPr>
          <w:sz w:val="28"/>
          <w:szCs w:val="28"/>
        </w:rPr>
        <w:t>профтехосвіти</w:t>
      </w:r>
      <w:proofErr w:type="spellEnd"/>
      <w:r w:rsidR="00791144">
        <w:rPr>
          <w:sz w:val="28"/>
          <w:szCs w:val="28"/>
        </w:rPr>
        <w:t xml:space="preserve"> з установами, організаціями та підприємствами міста щодо забезпечення проходження учнями практики відповідно до дуальної системи навчання, </w:t>
      </w:r>
      <w:r w:rsidR="00E86CE4" w:rsidRPr="00E86CE4">
        <w:rPr>
          <w:sz w:val="28"/>
          <w:szCs w:val="28"/>
        </w:rPr>
        <w:t>вирішення проблеми щодо створення умов для проживання або довезення випускників ПТНЗ, які влаштовуються працювати на підприємства міста, укладення договорів на надання освітніх послуг у сфері професійно-технічної освіти та інші.</w:t>
      </w:r>
    </w:p>
    <w:p w:rsidR="00D4138F" w:rsidRPr="00E86CE4" w:rsidRDefault="00D4138F" w:rsidP="00E86C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Управлінням праці підготовлені та передані в Управління професійно-технічної, вищої освіти та молодіжної політики Івано-Франківської облдержадміністрації пропозиції щодо формування регіонального замовлення на підготовку робітничих кадрів. </w:t>
      </w:r>
    </w:p>
    <w:p w:rsidR="004B0BCF" w:rsidRDefault="004B0BCF" w:rsidP="004B0BCF">
      <w:pPr>
        <w:ind w:firstLine="851"/>
        <w:jc w:val="both"/>
        <w:rPr>
          <w:sz w:val="28"/>
          <w:szCs w:val="28"/>
        </w:rPr>
      </w:pPr>
      <w:r w:rsidRPr="004B0BCF">
        <w:rPr>
          <w:sz w:val="28"/>
          <w:szCs w:val="28"/>
        </w:rPr>
        <w:t>З початку року з ініціативи управління праці були організовані робочі зустрічі міського голови з керівниками</w:t>
      </w:r>
      <w:r w:rsidR="00AD218B">
        <w:rPr>
          <w:sz w:val="28"/>
          <w:szCs w:val="28"/>
        </w:rPr>
        <w:t xml:space="preserve"> та педагогічними колективами</w:t>
      </w:r>
      <w:r w:rsidRPr="004B0BCF">
        <w:rPr>
          <w:sz w:val="28"/>
          <w:szCs w:val="28"/>
        </w:rPr>
        <w:t xml:space="preserve"> професійно-технічних навчальних закладів міста</w:t>
      </w:r>
      <w:r>
        <w:rPr>
          <w:sz w:val="28"/>
          <w:szCs w:val="28"/>
        </w:rPr>
        <w:t xml:space="preserve"> </w:t>
      </w:r>
      <w:r w:rsidRPr="004B0BCF">
        <w:rPr>
          <w:sz w:val="28"/>
          <w:szCs w:val="28"/>
        </w:rPr>
        <w:t xml:space="preserve">на базі цих закладів, а саме: ЦПТО №1, Івано-Франківського політехнічного ліцею, професійного ліцею </w:t>
      </w:r>
      <w:r w:rsidRPr="004B0BCF">
        <w:rPr>
          <w:sz w:val="28"/>
          <w:szCs w:val="28"/>
        </w:rPr>
        <w:lastRenderedPageBreak/>
        <w:t xml:space="preserve">автомобільного транспорту і будівництва, будівельного ліцею, </w:t>
      </w:r>
      <w:r>
        <w:rPr>
          <w:sz w:val="28"/>
          <w:szCs w:val="28"/>
        </w:rPr>
        <w:t>ВПУ</w:t>
      </w:r>
      <w:r w:rsidRPr="004B0BCF">
        <w:rPr>
          <w:sz w:val="28"/>
          <w:szCs w:val="28"/>
        </w:rPr>
        <w:t xml:space="preserve"> № 21, вищого художнього професійного училища № 3, коледжу ресторанного сервісу і туризму</w:t>
      </w:r>
      <w:r>
        <w:rPr>
          <w:sz w:val="28"/>
          <w:szCs w:val="28"/>
        </w:rPr>
        <w:t>,</w:t>
      </w:r>
      <w:r w:rsidRPr="004B0BCF">
        <w:rPr>
          <w:sz w:val="28"/>
          <w:szCs w:val="28"/>
        </w:rPr>
        <w:t xml:space="preserve"> ВПУ СОТ та ВПУ № 13. На зустрічі запрошувались керівники підприємств, які відчувають потребу в робітничих кадрах, керівники структурних підрозділів Івано-Франківської ОДА та міської ради, депутати міської ради та ін.</w:t>
      </w:r>
    </w:p>
    <w:p w:rsidR="00EF418A" w:rsidRDefault="00AD218B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 метою популяризації робітничих професій,</w:t>
      </w:r>
      <w:r w:rsidRPr="00AD218B">
        <w:rPr>
          <w:sz w:val="28"/>
          <w:szCs w:val="28"/>
        </w:rPr>
        <w:t xml:space="preserve"> на виконання </w:t>
      </w:r>
      <w:r>
        <w:rPr>
          <w:sz w:val="28"/>
          <w:szCs w:val="28"/>
        </w:rPr>
        <w:t xml:space="preserve">вищезазначеної </w:t>
      </w:r>
      <w:r w:rsidRPr="00AD218B">
        <w:rPr>
          <w:sz w:val="28"/>
          <w:szCs w:val="28"/>
        </w:rPr>
        <w:t>Програми управління</w:t>
      </w:r>
      <w:r w:rsidR="00EF418A">
        <w:rPr>
          <w:sz w:val="28"/>
          <w:szCs w:val="28"/>
        </w:rPr>
        <w:t>м</w:t>
      </w:r>
      <w:r w:rsidR="001A2503">
        <w:rPr>
          <w:sz w:val="28"/>
          <w:szCs w:val="28"/>
        </w:rPr>
        <w:t xml:space="preserve"> праці </w:t>
      </w:r>
      <w:r w:rsidRPr="00AD218B">
        <w:rPr>
          <w:sz w:val="28"/>
          <w:szCs w:val="28"/>
        </w:rPr>
        <w:t>організовано проведення міських конкурсів з визначення кращого за професією серед учнів закладів професійно-технічної освіти</w:t>
      </w:r>
      <w:r w:rsidR="001A2503">
        <w:rPr>
          <w:sz w:val="28"/>
          <w:szCs w:val="28"/>
        </w:rPr>
        <w:t xml:space="preserve">. У минулому році проводились конкурси з визначення кращого токаря, кращого кравця та кращого коваля. </w:t>
      </w:r>
    </w:p>
    <w:p w:rsidR="004F7D1E" w:rsidRDefault="004F7D1E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2018 році проведені такі конкурси:</w:t>
      </w:r>
    </w:p>
    <w:p w:rsidR="00AD218B" w:rsidRPr="00AD218B" w:rsidRDefault="00AD218B" w:rsidP="00AD218B">
      <w:pPr>
        <w:widowControl w:val="0"/>
        <w:ind w:firstLine="851"/>
        <w:jc w:val="both"/>
        <w:rPr>
          <w:sz w:val="28"/>
          <w:szCs w:val="28"/>
        </w:rPr>
      </w:pPr>
      <w:r w:rsidRPr="00AD218B">
        <w:rPr>
          <w:sz w:val="28"/>
          <w:szCs w:val="28"/>
        </w:rPr>
        <w:t>- 20.04.2018 р. – конкурс з визначення кращого монтажника санітарно-технічних систем і устаткування;</w:t>
      </w:r>
    </w:p>
    <w:p w:rsidR="00AD218B" w:rsidRPr="00AD218B" w:rsidRDefault="00AD218B" w:rsidP="00AD218B">
      <w:pPr>
        <w:widowControl w:val="0"/>
        <w:ind w:firstLine="851"/>
        <w:jc w:val="both"/>
        <w:rPr>
          <w:sz w:val="28"/>
          <w:szCs w:val="28"/>
        </w:rPr>
      </w:pPr>
      <w:r w:rsidRPr="00AD218B">
        <w:rPr>
          <w:sz w:val="28"/>
          <w:szCs w:val="28"/>
        </w:rPr>
        <w:t>- 23.04.2018 р. – конкурс з визначення кращого слюсаря з ремонту автомобілів;</w:t>
      </w:r>
    </w:p>
    <w:p w:rsidR="00AD218B" w:rsidRPr="00AD218B" w:rsidRDefault="00AD218B" w:rsidP="00AD218B">
      <w:pPr>
        <w:widowControl w:val="0"/>
        <w:ind w:firstLine="851"/>
        <w:jc w:val="both"/>
        <w:rPr>
          <w:sz w:val="28"/>
          <w:szCs w:val="28"/>
        </w:rPr>
      </w:pPr>
      <w:r w:rsidRPr="00AD218B">
        <w:rPr>
          <w:sz w:val="28"/>
          <w:szCs w:val="28"/>
        </w:rPr>
        <w:t>- 24.04.2018 р. – конкурс з визначення кращого кондитера;</w:t>
      </w:r>
    </w:p>
    <w:p w:rsidR="00AD218B" w:rsidRPr="00AD218B" w:rsidRDefault="00AD218B" w:rsidP="00AD218B">
      <w:pPr>
        <w:widowControl w:val="0"/>
        <w:ind w:firstLine="851"/>
        <w:jc w:val="both"/>
        <w:rPr>
          <w:sz w:val="28"/>
          <w:szCs w:val="28"/>
        </w:rPr>
      </w:pPr>
      <w:r w:rsidRPr="00AD218B">
        <w:rPr>
          <w:sz w:val="28"/>
          <w:szCs w:val="28"/>
        </w:rPr>
        <w:t xml:space="preserve">- 29.05.2018 р. – конкурс з визначення кращого електромонтера з ремонту та обслуговування електроустаткування. </w:t>
      </w:r>
    </w:p>
    <w:p w:rsidR="00AD218B" w:rsidRPr="00AD218B" w:rsidRDefault="00AD218B" w:rsidP="00AD218B">
      <w:pPr>
        <w:widowControl w:val="0"/>
        <w:ind w:firstLine="851"/>
        <w:jc w:val="both"/>
        <w:rPr>
          <w:sz w:val="28"/>
          <w:szCs w:val="28"/>
        </w:rPr>
      </w:pPr>
      <w:r w:rsidRPr="00AD218B">
        <w:rPr>
          <w:sz w:val="28"/>
          <w:szCs w:val="28"/>
        </w:rPr>
        <w:t>Всі учасники та призери конкурсів нагороджені дипломами та цінними подарунками.</w:t>
      </w:r>
    </w:p>
    <w:p w:rsidR="00AD218B" w:rsidRDefault="00AD218B" w:rsidP="00AD218B">
      <w:pPr>
        <w:ind w:firstLine="851"/>
        <w:jc w:val="both"/>
        <w:rPr>
          <w:sz w:val="28"/>
        </w:rPr>
      </w:pPr>
      <w:r w:rsidRPr="00AD218B">
        <w:rPr>
          <w:sz w:val="28"/>
        </w:rPr>
        <w:t>Також з ініціативи управління праці виготовлен</w:t>
      </w:r>
      <w:r w:rsidR="00E86CE4">
        <w:rPr>
          <w:sz w:val="28"/>
        </w:rPr>
        <w:t xml:space="preserve">о фільм про відкриті вакансії на комунальних підприємствах міста </w:t>
      </w:r>
      <w:r w:rsidR="00E86CE4" w:rsidRPr="00E86CE4">
        <w:rPr>
          <w:sz w:val="28"/>
        </w:rPr>
        <w:t>“</w:t>
      </w:r>
      <w:r w:rsidR="00E86CE4">
        <w:rPr>
          <w:sz w:val="28"/>
        </w:rPr>
        <w:t>Кадровий потенціал Івано-Франківська</w:t>
      </w:r>
      <w:r w:rsidR="00E86CE4" w:rsidRPr="00E86CE4">
        <w:rPr>
          <w:sz w:val="28"/>
        </w:rPr>
        <w:t>”</w:t>
      </w:r>
      <w:r w:rsidR="00E86CE4">
        <w:rPr>
          <w:sz w:val="28"/>
        </w:rPr>
        <w:t xml:space="preserve"> та</w:t>
      </w:r>
      <w:r w:rsidRPr="00AD218B">
        <w:rPr>
          <w:sz w:val="28"/>
        </w:rPr>
        <w:t xml:space="preserve"> інформаційний фільм “ВПУ запрошують на навчання”, який розповідає про всі заклади міста, де готують спеціалістів робітничих спеціальностей. </w:t>
      </w:r>
      <w:r w:rsidR="00E86CE4">
        <w:rPr>
          <w:sz w:val="28"/>
        </w:rPr>
        <w:t xml:space="preserve">Зазначені </w:t>
      </w:r>
      <w:r w:rsidR="001A2503">
        <w:rPr>
          <w:sz w:val="28"/>
        </w:rPr>
        <w:t>ф</w:t>
      </w:r>
      <w:r w:rsidRPr="00AD218B">
        <w:rPr>
          <w:sz w:val="28"/>
        </w:rPr>
        <w:t>ільм</w:t>
      </w:r>
      <w:r w:rsidR="001A2503">
        <w:rPr>
          <w:sz w:val="28"/>
        </w:rPr>
        <w:t xml:space="preserve">и транслювались </w:t>
      </w:r>
      <w:r w:rsidR="001A2503" w:rsidRPr="00AD218B">
        <w:rPr>
          <w:sz w:val="28"/>
        </w:rPr>
        <w:t>на ТРК “Вежа” та розміщен</w:t>
      </w:r>
      <w:r w:rsidR="001A2503">
        <w:rPr>
          <w:sz w:val="28"/>
        </w:rPr>
        <w:t>і</w:t>
      </w:r>
      <w:r w:rsidR="001A2503" w:rsidRPr="00AD218B">
        <w:rPr>
          <w:sz w:val="28"/>
        </w:rPr>
        <w:t xml:space="preserve"> на офіційній сторінці міста</w:t>
      </w:r>
      <w:r w:rsidR="001A2503">
        <w:rPr>
          <w:sz w:val="28"/>
        </w:rPr>
        <w:t xml:space="preserve"> та сторінці управління праці у </w:t>
      </w:r>
      <w:proofErr w:type="spellStart"/>
      <w:r w:rsidR="001A2503">
        <w:rPr>
          <w:sz w:val="28"/>
          <w:lang w:val="en-US"/>
        </w:rPr>
        <w:t>Faceb</w:t>
      </w:r>
      <w:proofErr w:type="spellEnd"/>
      <w:r w:rsidR="001A2503" w:rsidRPr="00E8260F">
        <w:rPr>
          <w:sz w:val="28"/>
        </w:rPr>
        <w:t>о</w:t>
      </w:r>
      <w:r w:rsidR="001A2503">
        <w:rPr>
          <w:sz w:val="28"/>
          <w:lang w:val="en-US"/>
        </w:rPr>
        <w:t>ok</w:t>
      </w:r>
      <w:r w:rsidR="001A2503" w:rsidRPr="00AD218B">
        <w:rPr>
          <w:sz w:val="28"/>
        </w:rPr>
        <w:t>.</w:t>
      </w:r>
      <w:r w:rsidR="00E86CE4">
        <w:rPr>
          <w:sz w:val="28"/>
        </w:rPr>
        <w:t xml:space="preserve"> </w:t>
      </w:r>
      <w:r w:rsidR="001A2503">
        <w:rPr>
          <w:sz w:val="28"/>
        </w:rPr>
        <w:t xml:space="preserve">Фільм </w:t>
      </w:r>
      <w:r w:rsidR="00E86CE4">
        <w:rPr>
          <w:sz w:val="28"/>
        </w:rPr>
        <w:t>про ВПУ</w:t>
      </w:r>
      <w:r w:rsidRPr="00AD218B">
        <w:rPr>
          <w:sz w:val="28"/>
        </w:rPr>
        <w:t xml:space="preserve"> переданий у департамент освіти та науки міської ради для демонстрації учням 9-11 класів</w:t>
      </w:r>
      <w:r w:rsidR="001A2503">
        <w:rPr>
          <w:sz w:val="28"/>
        </w:rPr>
        <w:t xml:space="preserve">. </w:t>
      </w:r>
    </w:p>
    <w:p w:rsidR="001A2503" w:rsidRDefault="001A2503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Крім того, у</w:t>
      </w:r>
      <w:r w:rsidRPr="001A2503">
        <w:rPr>
          <w:sz w:val="28"/>
          <w:szCs w:val="28"/>
        </w:rPr>
        <w:t xml:space="preserve">правлінням розроблені інформаційні листівки “Робітничі професії – стабільна економіка міста”. У них зазначений перелік спеціалістів, яких готують професійно-технічні навчальні заклади міста та перелік потенційних роботодавців міста, які потребують робітничих кадрів. </w:t>
      </w:r>
    </w:p>
    <w:p w:rsidR="00053C2D" w:rsidRDefault="00053C2D" w:rsidP="00053C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 метою профор</w:t>
      </w:r>
      <w:r w:rsidR="00EF418A">
        <w:rPr>
          <w:sz w:val="28"/>
          <w:szCs w:val="28"/>
        </w:rPr>
        <w:t>ієнтаційної роботи усіма ПТНЗ</w:t>
      </w:r>
      <w:r>
        <w:rPr>
          <w:sz w:val="28"/>
          <w:szCs w:val="28"/>
        </w:rPr>
        <w:t xml:space="preserve"> міста знято відеоролики про свій навчальний заклад з проведенням майстер</w:t>
      </w:r>
      <w:r w:rsidR="00EF418A">
        <w:rPr>
          <w:sz w:val="28"/>
          <w:szCs w:val="28"/>
        </w:rPr>
        <w:t>-</w:t>
      </w:r>
      <w:r>
        <w:rPr>
          <w:sz w:val="28"/>
          <w:szCs w:val="28"/>
        </w:rPr>
        <w:t>класу по кожній професії за участю учнів та майстрів виробничого навчання.</w:t>
      </w:r>
    </w:p>
    <w:p w:rsidR="00053C2D" w:rsidRPr="001A2503" w:rsidRDefault="00053C2D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Всі заклади ПТНЗ міста Івано-Франківська постійно на власних сайтах висвітлюються новини та інформаці</w:t>
      </w:r>
      <w:r w:rsidR="00EF418A">
        <w:rPr>
          <w:sz w:val="28"/>
          <w:szCs w:val="28"/>
        </w:rPr>
        <w:t>ю</w:t>
      </w:r>
      <w:r>
        <w:rPr>
          <w:sz w:val="28"/>
          <w:szCs w:val="28"/>
        </w:rPr>
        <w:t xml:space="preserve"> про навчальний заклад, також у відповідному розділі є інформація про ліцензії</w:t>
      </w:r>
      <w:r w:rsidR="00EF418A">
        <w:rPr>
          <w:sz w:val="28"/>
          <w:szCs w:val="28"/>
        </w:rPr>
        <w:t>,</w:t>
      </w:r>
      <w:r>
        <w:rPr>
          <w:sz w:val="28"/>
          <w:szCs w:val="28"/>
        </w:rPr>
        <w:t xml:space="preserve"> за якими заклади можуть здійснювати підготовку та перепідготовку робітничих кадрів.</w:t>
      </w:r>
    </w:p>
    <w:p w:rsidR="00483C88" w:rsidRPr="009B0EDE" w:rsidRDefault="00483C88" w:rsidP="00483C88">
      <w:pPr>
        <w:ind w:firstLine="708"/>
        <w:jc w:val="both"/>
        <w:rPr>
          <w:sz w:val="28"/>
          <w:szCs w:val="28"/>
        </w:rPr>
      </w:pPr>
      <w:r w:rsidRPr="009B0EDE">
        <w:rPr>
          <w:sz w:val="28"/>
          <w:szCs w:val="28"/>
        </w:rPr>
        <w:t xml:space="preserve">З метою забезпечення завдань у сфері зайнятості населення, зокрема регулювання регіонального ринку праці за допомогою правового, організаційного та економічного механізмів, що створюють умови для забезпечення зайнятості населення </w:t>
      </w:r>
      <w:r w:rsidR="00EF418A">
        <w:rPr>
          <w:sz w:val="28"/>
          <w:szCs w:val="28"/>
        </w:rPr>
        <w:t>міста</w:t>
      </w:r>
      <w:r w:rsidRPr="009B0EDE">
        <w:rPr>
          <w:sz w:val="28"/>
          <w:szCs w:val="28"/>
        </w:rPr>
        <w:t xml:space="preserve"> та соціального захисту його від безробіття, Івано-Франківським міським центром зайнятості проводяться </w:t>
      </w:r>
      <w:r w:rsidRPr="009B0EDE">
        <w:rPr>
          <w:sz w:val="28"/>
          <w:szCs w:val="28"/>
        </w:rPr>
        <w:lastRenderedPageBreak/>
        <w:t>профорієнтаційні заходи для молоді, зокрема протягом січня-</w:t>
      </w:r>
      <w:r>
        <w:rPr>
          <w:sz w:val="28"/>
          <w:szCs w:val="28"/>
        </w:rPr>
        <w:t>вересня</w:t>
      </w:r>
      <w:r w:rsidRPr="009B0EDE">
        <w:rPr>
          <w:sz w:val="28"/>
          <w:szCs w:val="28"/>
        </w:rPr>
        <w:t xml:space="preserve"> 2018 року  проведено 37 Брейн-рингів, 54 уроки щодо вибору професій, 23 </w:t>
      </w:r>
      <w:proofErr w:type="spellStart"/>
      <w:r w:rsidRPr="009B0EDE">
        <w:rPr>
          <w:sz w:val="28"/>
          <w:szCs w:val="28"/>
        </w:rPr>
        <w:t>профінформаційних</w:t>
      </w:r>
      <w:proofErr w:type="spellEnd"/>
      <w:r w:rsidRPr="009B0EDE">
        <w:rPr>
          <w:sz w:val="28"/>
          <w:szCs w:val="28"/>
        </w:rPr>
        <w:t xml:space="preserve"> групових заходи для учнівської молоді, 1 ярмарок професій,</w:t>
      </w:r>
      <w:r w:rsidR="00053C2D">
        <w:rPr>
          <w:sz w:val="28"/>
          <w:szCs w:val="28"/>
        </w:rPr>
        <w:t xml:space="preserve"> </w:t>
      </w:r>
      <w:r w:rsidRPr="009B0EDE">
        <w:rPr>
          <w:sz w:val="28"/>
          <w:szCs w:val="28"/>
        </w:rPr>
        <w:t>1 майстерня професій та участь у профорієнтаційному проекті Місто професій</w:t>
      </w:r>
      <w:r>
        <w:rPr>
          <w:sz w:val="28"/>
          <w:szCs w:val="28"/>
        </w:rPr>
        <w:t>.</w:t>
      </w:r>
    </w:p>
    <w:p w:rsidR="00483C88" w:rsidRPr="009B0EDE" w:rsidRDefault="005E03EF" w:rsidP="00483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</w:t>
      </w:r>
      <w:r w:rsidR="00483C88" w:rsidRPr="009B0EDE">
        <w:rPr>
          <w:sz w:val="28"/>
          <w:szCs w:val="28"/>
        </w:rPr>
        <w:t xml:space="preserve"> проводилися профорієнтаційні заходи для населення з використанням сучасних інформаційних ресурсів, зокрема 6 заходів з використанням програмно-апаратних комплексів для професійної орієнтації молоді. </w:t>
      </w:r>
    </w:p>
    <w:p w:rsidR="007A6FB3" w:rsidRDefault="005E03EF" w:rsidP="007155A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483C88" w:rsidRPr="001E1467">
        <w:rPr>
          <w:rFonts w:eastAsia="Calibri"/>
          <w:sz w:val="28"/>
          <w:szCs w:val="28"/>
          <w:lang w:eastAsia="en-US"/>
        </w:rPr>
        <w:t>роводяться масові профорієнтаційні заходи, а саме: Ярмарки професій, Дні відкритих дверей та Ярмарки</w:t>
      </w:r>
      <w:r w:rsidR="00483C88">
        <w:rPr>
          <w:rFonts w:eastAsia="Calibri"/>
          <w:sz w:val="28"/>
          <w:szCs w:val="28"/>
          <w:lang w:eastAsia="en-US"/>
        </w:rPr>
        <w:t xml:space="preserve"> кар</w:t>
      </w:r>
      <w:r w:rsidR="00483C88" w:rsidRPr="00E2560C">
        <w:rPr>
          <w:rFonts w:eastAsia="Calibri"/>
          <w:sz w:val="28"/>
          <w:szCs w:val="28"/>
          <w:lang w:eastAsia="en-US"/>
        </w:rPr>
        <w:t>’</w:t>
      </w:r>
      <w:r w:rsidR="00483C88">
        <w:rPr>
          <w:rFonts w:eastAsia="Calibri"/>
          <w:sz w:val="28"/>
          <w:szCs w:val="28"/>
          <w:lang w:eastAsia="en-US"/>
        </w:rPr>
        <w:t>єри</w:t>
      </w:r>
      <w:r w:rsidR="00483C88" w:rsidRPr="001E1467">
        <w:rPr>
          <w:rFonts w:eastAsia="Calibri"/>
          <w:sz w:val="28"/>
          <w:szCs w:val="28"/>
          <w:lang w:eastAsia="en-US"/>
        </w:rPr>
        <w:t>, до участі в яких залучаються випускники та учні шкіл міста.</w:t>
      </w:r>
      <w:r w:rsidR="007155AB">
        <w:rPr>
          <w:rFonts w:eastAsia="Calibri"/>
          <w:sz w:val="28"/>
          <w:szCs w:val="28"/>
          <w:lang w:eastAsia="en-US"/>
        </w:rPr>
        <w:t xml:space="preserve"> </w:t>
      </w:r>
      <w:r w:rsidR="00483C88" w:rsidRPr="001E1467">
        <w:rPr>
          <w:rFonts w:eastAsia="Calibri"/>
          <w:sz w:val="28"/>
          <w:szCs w:val="28"/>
          <w:lang w:eastAsia="en-US"/>
        </w:rPr>
        <w:t xml:space="preserve">До прикладу, 14 березня 2018 року на базі Івано-Франківського вищого професійного училища сервісного обслуговування техніки проведено масовий профорієнтаційний захід </w:t>
      </w:r>
      <w:r w:rsidR="007155AB" w:rsidRPr="007155AB">
        <w:rPr>
          <w:rFonts w:eastAsia="Calibri"/>
          <w:sz w:val="28"/>
          <w:szCs w:val="28"/>
          <w:lang w:eastAsia="en-US"/>
        </w:rPr>
        <w:t>“</w:t>
      </w:r>
      <w:r w:rsidR="00483C88" w:rsidRPr="001E1467">
        <w:rPr>
          <w:rFonts w:eastAsia="Calibri"/>
          <w:sz w:val="28"/>
          <w:szCs w:val="28"/>
          <w:lang w:eastAsia="en-US"/>
        </w:rPr>
        <w:t>Ярмарок професій</w:t>
      </w:r>
      <w:r w:rsidR="007155AB" w:rsidRPr="007155AB">
        <w:rPr>
          <w:rFonts w:eastAsia="Calibri"/>
          <w:sz w:val="28"/>
          <w:szCs w:val="28"/>
          <w:lang w:eastAsia="en-US"/>
        </w:rPr>
        <w:t>”</w:t>
      </w:r>
      <w:r w:rsidR="00483C88" w:rsidRPr="001E1467">
        <w:rPr>
          <w:rFonts w:eastAsia="Calibri"/>
          <w:sz w:val="28"/>
          <w:szCs w:val="28"/>
          <w:lang w:eastAsia="en-US"/>
        </w:rPr>
        <w:t>, участь у якому взяли учні та вчителі загальноосвітніх шкіл міста Івано-Франківська</w:t>
      </w:r>
    </w:p>
    <w:p w:rsidR="00483C88" w:rsidRPr="009B0EDE" w:rsidRDefault="00483C88" w:rsidP="00483C88">
      <w:pPr>
        <w:ind w:firstLine="708"/>
        <w:jc w:val="both"/>
        <w:rPr>
          <w:sz w:val="28"/>
          <w:szCs w:val="28"/>
        </w:rPr>
      </w:pPr>
      <w:r w:rsidRPr="009B0EDE">
        <w:rPr>
          <w:sz w:val="28"/>
          <w:szCs w:val="28"/>
        </w:rPr>
        <w:t>Протягом січня-</w:t>
      </w:r>
      <w:r>
        <w:rPr>
          <w:sz w:val="28"/>
          <w:szCs w:val="28"/>
        </w:rPr>
        <w:t>вересня</w:t>
      </w:r>
      <w:r w:rsidRPr="009B0EDE">
        <w:rPr>
          <w:sz w:val="28"/>
          <w:szCs w:val="28"/>
        </w:rPr>
        <w:t xml:space="preserve"> 2018 року  Івано-Франківським міським центром зайнятості проведено 11 </w:t>
      </w:r>
      <w:proofErr w:type="spellStart"/>
      <w:r w:rsidRPr="009B0EDE">
        <w:rPr>
          <w:sz w:val="28"/>
          <w:szCs w:val="28"/>
        </w:rPr>
        <w:t>професіографічних</w:t>
      </w:r>
      <w:proofErr w:type="spellEnd"/>
      <w:r w:rsidRPr="009B0EDE">
        <w:rPr>
          <w:sz w:val="28"/>
          <w:szCs w:val="28"/>
        </w:rPr>
        <w:t xml:space="preserve"> екскурсій з учнівською молоддю та 19 Днів відкритих дверей на виробництві для учнівської молоді.</w:t>
      </w:r>
    </w:p>
    <w:p w:rsidR="00483C88" w:rsidRPr="00417CF1" w:rsidRDefault="00483C88" w:rsidP="00483C88">
      <w:pPr>
        <w:ind w:firstLine="709"/>
        <w:jc w:val="both"/>
        <w:rPr>
          <w:sz w:val="28"/>
          <w:szCs w:val="28"/>
        </w:rPr>
      </w:pPr>
      <w:r w:rsidRPr="00B2736F">
        <w:rPr>
          <w:sz w:val="28"/>
          <w:szCs w:val="28"/>
        </w:rPr>
        <w:t>Профорієнтаційна робота триває й під час літніх канікул в оздоровчих комплексах, таборах</w:t>
      </w:r>
      <w:r>
        <w:rPr>
          <w:sz w:val="28"/>
          <w:szCs w:val="28"/>
        </w:rPr>
        <w:t>.</w:t>
      </w:r>
      <w:r w:rsidR="007155AB" w:rsidRPr="007155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 прикладу, працівниками Івано-Франківського міського центру зайнятості проведено профорієнтаційні </w:t>
      </w:r>
      <w:proofErr w:type="spellStart"/>
      <w:r>
        <w:rPr>
          <w:sz w:val="28"/>
          <w:szCs w:val="28"/>
        </w:rPr>
        <w:t>уроки</w:t>
      </w:r>
      <w:proofErr w:type="spellEnd"/>
      <w:r>
        <w:rPr>
          <w:sz w:val="28"/>
          <w:szCs w:val="28"/>
        </w:rPr>
        <w:t xml:space="preserve"> в літніх таборах, а саме: 22.06.2018</w:t>
      </w:r>
      <w:r w:rsidR="007155AB" w:rsidRPr="007155AB">
        <w:rPr>
          <w:sz w:val="28"/>
          <w:szCs w:val="28"/>
          <w:lang w:val="ru-RU"/>
        </w:rPr>
        <w:t xml:space="preserve"> </w:t>
      </w:r>
      <w:r w:rsidR="007155AB">
        <w:rPr>
          <w:sz w:val="28"/>
          <w:szCs w:val="28"/>
        </w:rPr>
        <w:t>року</w:t>
      </w:r>
      <w:r>
        <w:rPr>
          <w:sz w:val="28"/>
          <w:szCs w:val="28"/>
        </w:rPr>
        <w:t xml:space="preserve"> та </w:t>
      </w:r>
      <w:r w:rsidR="005E03EF">
        <w:rPr>
          <w:sz w:val="28"/>
          <w:szCs w:val="28"/>
        </w:rPr>
        <w:t>0</w:t>
      </w:r>
      <w:r>
        <w:rPr>
          <w:sz w:val="28"/>
          <w:szCs w:val="28"/>
        </w:rPr>
        <w:t>7.08.2018</w:t>
      </w:r>
      <w:r w:rsidR="007155AB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в ЛОК </w:t>
      </w:r>
      <w:r w:rsidR="007155AB" w:rsidRPr="007155AB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Дружба</w:t>
      </w:r>
      <w:r w:rsidR="007155AB" w:rsidRPr="007155AB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Долинського</w:t>
      </w:r>
      <w:proofErr w:type="spellEnd"/>
      <w:r>
        <w:rPr>
          <w:sz w:val="28"/>
          <w:szCs w:val="28"/>
        </w:rPr>
        <w:t xml:space="preserve"> району, 30.07.2018 в СОК </w:t>
      </w:r>
      <w:r w:rsidR="007155AB" w:rsidRPr="007155AB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Смерічка</w:t>
      </w:r>
      <w:r w:rsidR="007155AB" w:rsidRPr="007155AB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Микуличині</w:t>
      </w:r>
      <w:proofErr w:type="spellEnd"/>
      <w:r>
        <w:rPr>
          <w:sz w:val="28"/>
          <w:szCs w:val="28"/>
        </w:rPr>
        <w:t>.</w:t>
      </w:r>
    </w:p>
    <w:p w:rsidR="00955704" w:rsidRDefault="00955704" w:rsidP="001A2503">
      <w:pPr>
        <w:ind w:firstLine="851"/>
        <w:jc w:val="both"/>
        <w:rPr>
          <w:sz w:val="28"/>
          <w:szCs w:val="28"/>
        </w:rPr>
      </w:pPr>
      <w:r w:rsidRPr="00955704">
        <w:rPr>
          <w:sz w:val="28"/>
          <w:szCs w:val="28"/>
        </w:rPr>
        <w:t>Для вирішення основних завдань, зазначених в Програмі управління праці пропонує:</w:t>
      </w:r>
    </w:p>
    <w:p w:rsidR="00871606" w:rsidRDefault="00871606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Продовжити </w:t>
      </w:r>
      <w:r w:rsidR="000F7711">
        <w:rPr>
          <w:sz w:val="28"/>
          <w:szCs w:val="28"/>
        </w:rPr>
        <w:t>проводити зустрічі у закладах професійно-технічної освіти за участю представників місцевого бізнесу</w:t>
      </w:r>
      <w:r>
        <w:rPr>
          <w:sz w:val="28"/>
          <w:szCs w:val="28"/>
        </w:rPr>
        <w:t>.</w:t>
      </w:r>
    </w:p>
    <w:p w:rsidR="00871606" w:rsidRDefault="00871606" w:rsidP="001A250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D624D">
        <w:rPr>
          <w:sz w:val="28"/>
          <w:szCs w:val="28"/>
        </w:rPr>
        <w:t>З метою зменшення відтоку робочої сили за кордон, проводити роботу з роботодавцями для підвищення заробітної плати найманим працівникам.</w:t>
      </w:r>
    </w:p>
    <w:p w:rsidR="00955704" w:rsidRDefault="005D624D" w:rsidP="00955704">
      <w:pPr>
        <w:pStyle w:val="a6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5704">
        <w:rPr>
          <w:sz w:val="28"/>
          <w:szCs w:val="28"/>
        </w:rPr>
        <w:t>. Розглянути питання щодо створення кластеру підприємців робітничих професій, що дасть можливість забезпечити економіку міста кваліфікованими робітничими кадрами відповідно до потреб ринку праці, розпочати власну справу</w:t>
      </w:r>
      <w:r w:rsidR="006E6615">
        <w:rPr>
          <w:sz w:val="28"/>
          <w:szCs w:val="28"/>
        </w:rPr>
        <w:t xml:space="preserve"> випускникам ПТНЗ</w:t>
      </w:r>
      <w:r w:rsidR="00955704">
        <w:rPr>
          <w:sz w:val="28"/>
          <w:szCs w:val="28"/>
        </w:rPr>
        <w:t xml:space="preserve"> та забезпечить створення нових робочих місць.</w:t>
      </w:r>
    </w:p>
    <w:p w:rsidR="00300AC6" w:rsidRDefault="005D624D" w:rsidP="00955704">
      <w:pPr>
        <w:pStyle w:val="a6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5704">
        <w:rPr>
          <w:sz w:val="28"/>
          <w:szCs w:val="28"/>
        </w:rPr>
        <w:t xml:space="preserve">. </w:t>
      </w:r>
      <w:r w:rsidR="000F7711">
        <w:rPr>
          <w:sz w:val="28"/>
          <w:szCs w:val="28"/>
        </w:rPr>
        <w:t xml:space="preserve">Проводити заходи з популяризації робітничих професій із широким залученням засобів масової інформації, </w:t>
      </w:r>
      <w:proofErr w:type="spellStart"/>
      <w:r w:rsidR="000F7711">
        <w:rPr>
          <w:sz w:val="28"/>
          <w:szCs w:val="28"/>
        </w:rPr>
        <w:t>теле</w:t>
      </w:r>
      <w:proofErr w:type="spellEnd"/>
      <w:r w:rsidR="000F7711">
        <w:rPr>
          <w:sz w:val="28"/>
          <w:szCs w:val="28"/>
        </w:rPr>
        <w:t>-, радіокомпаній для інформованості громадськості щодо ролі та переваг професійної освіти</w:t>
      </w:r>
      <w:r w:rsidR="00300AC6">
        <w:rPr>
          <w:sz w:val="28"/>
          <w:szCs w:val="28"/>
        </w:rPr>
        <w:t>.</w:t>
      </w:r>
    </w:p>
    <w:p w:rsidR="00955704" w:rsidRPr="00955704" w:rsidRDefault="005D624D" w:rsidP="00955704">
      <w:pPr>
        <w:pStyle w:val="a6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0AC6">
        <w:rPr>
          <w:sz w:val="28"/>
          <w:szCs w:val="28"/>
        </w:rPr>
        <w:t>. Проводити заходи на базі підприємств, на яких учні ПТНЗ матимуть змогу ознайомитись з кращими практиками ведення бізнесу, а суб’єктам господарювання підібрати потенційні кадри.</w:t>
      </w:r>
      <w:r w:rsidR="00955704">
        <w:rPr>
          <w:sz w:val="28"/>
          <w:szCs w:val="28"/>
        </w:rPr>
        <w:t xml:space="preserve"> </w:t>
      </w:r>
    </w:p>
    <w:p w:rsidR="00186CED" w:rsidRPr="00297739" w:rsidRDefault="000F7711" w:rsidP="00186C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Сприяти в проходженні виробничої практики випускників професійно-технічних закладів на підприємствах та в установах міста з метою їхнього працевлаштування.</w:t>
      </w:r>
    </w:p>
    <w:p w:rsidR="00EC5D2D" w:rsidRPr="00ED3D11" w:rsidRDefault="00EC5D2D" w:rsidP="00B37195">
      <w:pPr>
        <w:ind w:firstLine="851"/>
        <w:jc w:val="both"/>
        <w:rPr>
          <w:sz w:val="28"/>
          <w:szCs w:val="28"/>
        </w:rPr>
      </w:pPr>
    </w:p>
    <w:p w:rsidR="00B84B88" w:rsidRDefault="00B84B88" w:rsidP="003F7E45">
      <w:pPr>
        <w:jc w:val="both"/>
        <w:rPr>
          <w:sz w:val="28"/>
          <w:szCs w:val="28"/>
        </w:rPr>
      </w:pPr>
    </w:p>
    <w:p w:rsidR="003F7E45" w:rsidRDefault="00F92A4A" w:rsidP="003F7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</w:t>
      </w:r>
      <w:r w:rsidR="00E8260F">
        <w:rPr>
          <w:sz w:val="28"/>
          <w:szCs w:val="28"/>
        </w:rPr>
        <w:t>праці</w:t>
      </w:r>
      <w:r>
        <w:rPr>
          <w:sz w:val="28"/>
          <w:szCs w:val="28"/>
        </w:rPr>
        <w:t xml:space="preserve">                                             Наталія Дмитраш</w:t>
      </w:r>
    </w:p>
    <w:sectPr w:rsidR="003F7E45" w:rsidSect="005D6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1817"/>
    <w:multiLevelType w:val="hybridMultilevel"/>
    <w:tmpl w:val="AB52DB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7723E8"/>
    <w:multiLevelType w:val="hybridMultilevel"/>
    <w:tmpl w:val="D96CA60E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76D2C13"/>
    <w:multiLevelType w:val="hybridMultilevel"/>
    <w:tmpl w:val="44F6F028"/>
    <w:lvl w:ilvl="0" w:tplc="A1D2A1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CFC"/>
    <w:rsid w:val="00007BE0"/>
    <w:rsid w:val="000166F7"/>
    <w:rsid w:val="00020703"/>
    <w:rsid w:val="000440A7"/>
    <w:rsid w:val="00046C13"/>
    <w:rsid w:val="00051F10"/>
    <w:rsid w:val="00053C2D"/>
    <w:rsid w:val="0008533E"/>
    <w:rsid w:val="000855CE"/>
    <w:rsid w:val="000920AA"/>
    <w:rsid w:val="000D6AE2"/>
    <w:rsid w:val="000F20C2"/>
    <w:rsid w:val="000F4115"/>
    <w:rsid w:val="000F7711"/>
    <w:rsid w:val="00122598"/>
    <w:rsid w:val="00131CE0"/>
    <w:rsid w:val="00145615"/>
    <w:rsid w:val="00186CED"/>
    <w:rsid w:val="001A2503"/>
    <w:rsid w:val="001A4164"/>
    <w:rsid w:val="001C1573"/>
    <w:rsid w:val="001E0D78"/>
    <w:rsid w:val="00221E1D"/>
    <w:rsid w:val="00242526"/>
    <w:rsid w:val="002861DF"/>
    <w:rsid w:val="00297739"/>
    <w:rsid w:val="002A0610"/>
    <w:rsid w:val="002C6C4C"/>
    <w:rsid w:val="00300AC6"/>
    <w:rsid w:val="00311D60"/>
    <w:rsid w:val="00334B1E"/>
    <w:rsid w:val="003707F9"/>
    <w:rsid w:val="00396449"/>
    <w:rsid w:val="003D77F2"/>
    <w:rsid w:val="003F7E45"/>
    <w:rsid w:val="00405CF8"/>
    <w:rsid w:val="00424405"/>
    <w:rsid w:val="004375B2"/>
    <w:rsid w:val="004462C6"/>
    <w:rsid w:val="00483C88"/>
    <w:rsid w:val="0049056C"/>
    <w:rsid w:val="00491BBA"/>
    <w:rsid w:val="004B0BCF"/>
    <w:rsid w:val="004B5B31"/>
    <w:rsid w:val="004D595F"/>
    <w:rsid w:val="004E6CA4"/>
    <w:rsid w:val="004F1C28"/>
    <w:rsid w:val="004F7D1E"/>
    <w:rsid w:val="0050595F"/>
    <w:rsid w:val="005158A5"/>
    <w:rsid w:val="0054123B"/>
    <w:rsid w:val="00546E3A"/>
    <w:rsid w:val="00547CEC"/>
    <w:rsid w:val="00572C1A"/>
    <w:rsid w:val="005762FA"/>
    <w:rsid w:val="005905C1"/>
    <w:rsid w:val="005B0D50"/>
    <w:rsid w:val="005C7585"/>
    <w:rsid w:val="005D624D"/>
    <w:rsid w:val="005E03EF"/>
    <w:rsid w:val="00610892"/>
    <w:rsid w:val="00633DE5"/>
    <w:rsid w:val="006733CB"/>
    <w:rsid w:val="00684D67"/>
    <w:rsid w:val="006C358D"/>
    <w:rsid w:val="006E21E1"/>
    <w:rsid w:val="006E6615"/>
    <w:rsid w:val="006F7560"/>
    <w:rsid w:val="007155AB"/>
    <w:rsid w:val="0075749C"/>
    <w:rsid w:val="00771CFC"/>
    <w:rsid w:val="00784443"/>
    <w:rsid w:val="00791144"/>
    <w:rsid w:val="007A6FB3"/>
    <w:rsid w:val="00815C57"/>
    <w:rsid w:val="00817ABD"/>
    <w:rsid w:val="00820BE7"/>
    <w:rsid w:val="00827CA7"/>
    <w:rsid w:val="0084096B"/>
    <w:rsid w:val="00871606"/>
    <w:rsid w:val="00892E77"/>
    <w:rsid w:val="00895BFE"/>
    <w:rsid w:val="008A381E"/>
    <w:rsid w:val="008C5F1E"/>
    <w:rsid w:val="008C7CAD"/>
    <w:rsid w:val="008D79F0"/>
    <w:rsid w:val="008F5D7D"/>
    <w:rsid w:val="008F6A4C"/>
    <w:rsid w:val="00932E80"/>
    <w:rsid w:val="00937FD7"/>
    <w:rsid w:val="00950454"/>
    <w:rsid w:val="00955704"/>
    <w:rsid w:val="009642DB"/>
    <w:rsid w:val="0096440D"/>
    <w:rsid w:val="009821B3"/>
    <w:rsid w:val="00982558"/>
    <w:rsid w:val="00987A3E"/>
    <w:rsid w:val="009E2A23"/>
    <w:rsid w:val="00A316BC"/>
    <w:rsid w:val="00A32260"/>
    <w:rsid w:val="00A3438C"/>
    <w:rsid w:val="00A349F4"/>
    <w:rsid w:val="00A62487"/>
    <w:rsid w:val="00AB5198"/>
    <w:rsid w:val="00AD218B"/>
    <w:rsid w:val="00B04C48"/>
    <w:rsid w:val="00B3222D"/>
    <w:rsid w:val="00B37195"/>
    <w:rsid w:val="00B65E8B"/>
    <w:rsid w:val="00B75C57"/>
    <w:rsid w:val="00B84B88"/>
    <w:rsid w:val="00BB34E9"/>
    <w:rsid w:val="00C03122"/>
    <w:rsid w:val="00C1159F"/>
    <w:rsid w:val="00C500E9"/>
    <w:rsid w:val="00C60C71"/>
    <w:rsid w:val="00C81551"/>
    <w:rsid w:val="00C83C4E"/>
    <w:rsid w:val="00C87768"/>
    <w:rsid w:val="00CB7356"/>
    <w:rsid w:val="00CE04F4"/>
    <w:rsid w:val="00D02447"/>
    <w:rsid w:val="00D269F2"/>
    <w:rsid w:val="00D2799C"/>
    <w:rsid w:val="00D4138F"/>
    <w:rsid w:val="00D50BED"/>
    <w:rsid w:val="00D67F04"/>
    <w:rsid w:val="00D775B7"/>
    <w:rsid w:val="00D84CC7"/>
    <w:rsid w:val="00D85E12"/>
    <w:rsid w:val="00DA7DB9"/>
    <w:rsid w:val="00DD344F"/>
    <w:rsid w:val="00E0253A"/>
    <w:rsid w:val="00E23BFF"/>
    <w:rsid w:val="00E31988"/>
    <w:rsid w:val="00E539CF"/>
    <w:rsid w:val="00E73FA2"/>
    <w:rsid w:val="00E8260F"/>
    <w:rsid w:val="00E86CE4"/>
    <w:rsid w:val="00E8762E"/>
    <w:rsid w:val="00EB2151"/>
    <w:rsid w:val="00EC22B8"/>
    <w:rsid w:val="00EC2E61"/>
    <w:rsid w:val="00EC5D2D"/>
    <w:rsid w:val="00EC6F77"/>
    <w:rsid w:val="00ED3D11"/>
    <w:rsid w:val="00EF1188"/>
    <w:rsid w:val="00EF418A"/>
    <w:rsid w:val="00EF449A"/>
    <w:rsid w:val="00EF5ADC"/>
    <w:rsid w:val="00F247FF"/>
    <w:rsid w:val="00F35261"/>
    <w:rsid w:val="00F632B7"/>
    <w:rsid w:val="00F83EF5"/>
    <w:rsid w:val="00F92A4A"/>
    <w:rsid w:val="00FA3123"/>
    <w:rsid w:val="00FD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24192-FB0D-4FF5-8661-237D5BEB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FC"/>
    <w:pPr>
      <w:spacing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A4A"/>
    <w:pPr>
      <w:keepNext/>
      <w:jc w:val="center"/>
      <w:outlineLvl w:val="0"/>
    </w:pPr>
    <w:rPr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F92A4A"/>
    <w:pPr>
      <w:keepNext/>
      <w:spacing w:line="360" w:lineRule="auto"/>
      <w:jc w:val="center"/>
      <w:outlineLvl w:val="3"/>
    </w:pPr>
    <w:rPr>
      <w:b/>
      <w:sz w:val="32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A4A"/>
    <w:rPr>
      <w:rFonts w:eastAsia="Times New Roman" w:cs="Times New Roman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F92A4A"/>
    <w:rPr>
      <w:rFonts w:eastAsia="Times New Roman" w:cs="Times New Roman"/>
      <w:b/>
      <w:sz w:val="32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207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70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892E7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55704"/>
    <w:pPr>
      <w:ind w:left="720"/>
      <w:contextualSpacing/>
    </w:pPr>
  </w:style>
  <w:style w:type="paragraph" w:customStyle="1" w:styleId="a7">
    <w:name w:val="Готовый"/>
    <w:basedOn w:val="a"/>
    <w:rsid w:val="00D269F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8982</Words>
  <Characters>5121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Тендер</dc:creator>
  <cp:keywords/>
  <dc:description/>
  <cp:lastModifiedBy>Користувач Windows</cp:lastModifiedBy>
  <cp:revision>4</cp:revision>
  <cp:lastPrinted>2018-11-02T10:03:00Z</cp:lastPrinted>
  <dcterms:created xsi:type="dcterms:W3CDTF">2018-11-07T14:45:00Z</dcterms:created>
  <dcterms:modified xsi:type="dcterms:W3CDTF">2018-11-09T08:10:00Z</dcterms:modified>
</cp:coreProperties>
</file>