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BFE" w:rsidRDefault="00895BFE" w:rsidP="004E6CA4">
      <w:pPr>
        <w:ind w:firstLine="851"/>
        <w:jc w:val="center"/>
        <w:rPr>
          <w:sz w:val="28"/>
          <w:szCs w:val="28"/>
        </w:rPr>
      </w:pPr>
      <w:bookmarkStart w:id="0" w:name="_GoBack"/>
      <w:bookmarkEnd w:id="0"/>
    </w:p>
    <w:p w:rsidR="004E6CA4" w:rsidRDefault="004E6CA4" w:rsidP="004E6CA4">
      <w:pPr>
        <w:ind w:firstLine="851"/>
        <w:jc w:val="center"/>
        <w:rPr>
          <w:sz w:val="28"/>
          <w:szCs w:val="28"/>
        </w:rPr>
      </w:pPr>
      <w:r>
        <w:rPr>
          <w:sz w:val="28"/>
          <w:szCs w:val="28"/>
        </w:rPr>
        <w:t>Інформація</w:t>
      </w:r>
    </w:p>
    <w:p w:rsidR="004E6CA4" w:rsidRDefault="00A3438C" w:rsidP="004E6CA4">
      <w:pPr>
        <w:ind w:firstLine="851"/>
        <w:jc w:val="center"/>
        <w:rPr>
          <w:sz w:val="28"/>
          <w:szCs w:val="28"/>
        </w:rPr>
      </w:pPr>
      <w:r>
        <w:rPr>
          <w:sz w:val="28"/>
          <w:szCs w:val="28"/>
        </w:rPr>
        <w:t>п</w:t>
      </w:r>
      <w:r w:rsidR="004E6CA4">
        <w:rPr>
          <w:sz w:val="28"/>
          <w:szCs w:val="28"/>
        </w:rPr>
        <w:t xml:space="preserve">ро виконання Програми легалізації найманої праці та забезпечення </w:t>
      </w:r>
    </w:p>
    <w:p w:rsidR="00A3438C" w:rsidRDefault="00A3438C" w:rsidP="004E6CA4">
      <w:pPr>
        <w:ind w:firstLine="851"/>
        <w:jc w:val="center"/>
        <w:rPr>
          <w:sz w:val="28"/>
          <w:szCs w:val="28"/>
        </w:rPr>
      </w:pPr>
      <w:r>
        <w:rPr>
          <w:sz w:val="28"/>
          <w:szCs w:val="28"/>
        </w:rPr>
        <w:t xml:space="preserve">кваліфікованими кадрами підприємств м. Івано-Франківська </w:t>
      </w:r>
    </w:p>
    <w:p w:rsidR="00A3438C" w:rsidRDefault="00A3438C" w:rsidP="004E6CA4">
      <w:pPr>
        <w:ind w:firstLine="851"/>
        <w:jc w:val="center"/>
        <w:rPr>
          <w:sz w:val="28"/>
          <w:szCs w:val="28"/>
        </w:rPr>
      </w:pPr>
      <w:r>
        <w:rPr>
          <w:sz w:val="28"/>
          <w:szCs w:val="28"/>
        </w:rPr>
        <w:t>на 2017-2020 рр.</w:t>
      </w:r>
    </w:p>
    <w:p w:rsidR="004E6CA4" w:rsidRDefault="004E6CA4" w:rsidP="00B37195">
      <w:pPr>
        <w:ind w:firstLine="851"/>
        <w:jc w:val="both"/>
        <w:rPr>
          <w:sz w:val="28"/>
          <w:szCs w:val="28"/>
        </w:rPr>
      </w:pPr>
    </w:p>
    <w:p w:rsidR="00C1159F" w:rsidRDefault="00C1159F" w:rsidP="00C1159F">
      <w:pPr>
        <w:shd w:val="clear" w:color="auto" w:fill="FFFFFF"/>
        <w:spacing w:line="322" w:lineRule="exact"/>
        <w:ind w:firstLine="851"/>
        <w:jc w:val="both"/>
        <w:rPr>
          <w:sz w:val="28"/>
          <w:szCs w:val="28"/>
        </w:rPr>
      </w:pPr>
      <w:r>
        <w:rPr>
          <w:sz w:val="28"/>
          <w:szCs w:val="28"/>
        </w:rPr>
        <w:t>Одними з досить гострих проблем сьогодення є питання дотримання трудового законодавства в частині оформлення трудових відносин  з найманими працівниками та брак працівників робітничих професій на підприємствах нашого міста.</w:t>
      </w:r>
    </w:p>
    <w:p w:rsidR="00C1159F" w:rsidRDefault="00C1159F" w:rsidP="00C1159F">
      <w:pPr>
        <w:shd w:val="clear" w:color="auto" w:fill="FFFFFF"/>
        <w:spacing w:line="322" w:lineRule="exact"/>
        <w:ind w:firstLine="851"/>
        <w:jc w:val="both"/>
        <w:rPr>
          <w:sz w:val="28"/>
          <w:szCs w:val="28"/>
        </w:rPr>
      </w:pPr>
      <w:r>
        <w:rPr>
          <w:sz w:val="28"/>
          <w:szCs w:val="28"/>
        </w:rPr>
        <w:t>З метою скорочення масштабів прихованих фо</w:t>
      </w:r>
      <w:r w:rsidR="001A4164">
        <w:rPr>
          <w:sz w:val="28"/>
          <w:szCs w:val="28"/>
        </w:rPr>
        <w:t>рм оплати праці та, відповідно, –</w:t>
      </w:r>
      <w:r>
        <w:rPr>
          <w:sz w:val="28"/>
          <w:szCs w:val="28"/>
        </w:rPr>
        <w:t xml:space="preserve"> легалізаці</w:t>
      </w:r>
      <w:r w:rsidR="001A4164">
        <w:rPr>
          <w:sz w:val="28"/>
          <w:szCs w:val="28"/>
        </w:rPr>
        <w:t>ї</w:t>
      </w:r>
      <w:r>
        <w:rPr>
          <w:sz w:val="28"/>
          <w:szCs w:val="28"/>
        </w:rPr>
        <w:t xml:space="preserve"> виплати заробітної плати та зайнятості населення, посилення соціального захисту працюючого населення міста Івано-Франківська, особливо на підприємствах малого та середнього бізнесу, зокрема, у сфері побутового </w:t>
      </w:r>
      <w:r w:rsidR="001A4164">
        <w:rPr>
          <w:sz w:val="28"/>
          <w:szCs w:val="28"/>
        </w:rPr>
        <w:t>обслуговування населення, торгівлі, харчової промисловості тощо, сприяння збільшенню надходжень до бюджетів усіх рівнів та до міського бюджету зокрема та створення сприятливих умов для залучення молодих, кваліфікованих спеціалістів робітничих спеціальностей для роботи на під</w:t>
      </w:r>
      <w:r w:rsidR="0050595F">
        <w:rPr>
          <w:sz w:val="28"/>
          <w:szCs w:val="28"/>
        </w:rPr>
        <w:t>п</w:t>
      </w:r>
      <w:r w:rsidR="001A4164">
        <w:rPr>
          <w:sz w:val="28"/>
          <w:szCs w:val="28"/>
        </w:rPr>
        <w:t xml:space="preserve">риємствах та організаціях міста розроблена Програма легалізації найманої праці та забезпечення кваліфікованими кадрами підприємств міста Івано-Франківська на 2017-2020 рр., яка затверджена </w:t>
      </w:r>
      <w:r w:rsidR="00FD0276">
        <w:rPr>
          <w:sz w:val="28"/>
          <w:szCs w:val="28"/>
        </w:rPr>
        <w:t xml:space="preserve">на сесії </w:t>
      </w:r>
      <w:r w:rsidR="001A4164">
        <w:rPr>
          <w:sz w:val="28"/>
          <w:szCs w:val="28"/>
        </w:rPr>
        <w:t>місько</w:t>
      </w:r>
      <w:r w:rsidR="00FD0276">
        <w:rPr>
          <w:sz w:val="28"/>
          <w:szCs w:val="28"/>
        </w:rPr>
        <w:t>ї</w:t>
      </w:r>
      <w:r w:rsidR="001A4164">
        <w:rPr>
          <w:sz w:val="28"/>
          <w:szCs w:val="28"/>
        </w:rPr>
        <w:t xml:space="preserve"> рад</w:t>
      </w:r>
      <w:r w:rsidR="00FD0276">
        <w:rPr>
          <w:sz w:val="28"/>
          <w:szCs w:val="28"/>
        </w:rPr>
        <w:t xml:space="preserve">и       </w:t>
      </w:r>
      <w:r w:rsidR="0050595F">
        <w:rPr>
          <w:sz w:val="28"/>
          <w:szCs w:val="28"/>
        </w:rPr>
        <w:t xml:space="preserve"> 22.12.2016 р. №332-9</w:t>
      </w:r>
      <w:r w:rsidR="001A4164">
        <w:rPr>
          <w:sz w:val="28"/>
          <w:szCs w:val="28"/>
        </w:rPr>
        <w:t>.</w:t>
      </w:r>
    </w:p>
    <w:p w:rsidR="00396449" w:rsidRDefault="00D2799C" w:rsidP="00B37195">
      <w:pPr>
        <w:ind w:firstLine="851"/>
        <w:jc w:val="both"/>
        <w:rPr>
          <w:sz w:val="28"/>
          <w:szCs w:val="28"/>
        </w:rPr>
      </w:pPr>
      <w:r>
        <w:rPr>
          <w:sz w:val="28"/>
          <w:szCs w:val="28"/>
        </w:rPr>
        <w:t xml:space="preserve">На виконання </w:t>
      </w:r>
      <w:r w:rsidR="008C5F1E">
        <w:rPr>
          <w:sz w:val="28"/>
          <w:szCs w:val="28"/>
        </w:rPr>
        <w:t>Програми легалізації найманої праці</w:t>
      </w:r>
      <w:r w:rsidR="00EF1188">
        <w:rPr>
          <w:sz w:val="28"/>
          <w:szCs w:val="28"/>
        </w:rPr>
        <w:t xml:space="preserve"> та забезпечення кваліфікованими кадрами підприє</w:t>
      </w:r>
      <w:r w:rsidR="002C6C4C">
        <w:rPr>
          <w:sz w:val="28"/>
          <w:szCs w:val="28"/>
        </w:rPr>
        <w:t>мств</w:t>
      </w:r>
      <w:r w:rsidR="00EF1188">
        <w:rPr>
          <w:sz w:val="28"/>
          <w:szCs w:val="28"/>
        </w:rPr>
        <w:t xml:space="preserve"> міста Іван</w:t>
      </w:r>
      <w:r w:rsidR="0050595F">
        <w:rPr>
          <w:sz w:val="28"/>
          <w:szCs w:val="28"/>
        </w:rPr>
        <w:t>о-Франківська на 2017-2020 роки</w:t>
      </w:r>
      <w:r w:rsidR="00EF1188">
        <w:rPr>
          <w:sz w:val="28"/>
          <w:szCs w:val="28"/>
        </w:rPr>
        <w:t xml:space="preserve"> </w:t>
      </w:r>
      <w:r w:rsidR="00396449">
        <w:rPr>
          <w:sz w:val="28"/>
          <w:szCs w:val="28"/>
        </w:rPr>
        <w:t>управління</w:t>
      </w:r>
      <w:r w:rsidR="00E73FA2">
        <w:rPr>
          <w:sz w:val="28"/>
          <w:szCs w:val="28"/>
        </w:rPr>
        <w:t>м</w:t>
      </w:r>
      <w:r w:rsidR="00396449">
        <w:rPr>
          <w:sz w:val="28"/>
          <w:szCs w:val="28"/>
        </w:rPr>
        <w:t xml:space="preserve"> праці Івано-Франківської міської постійно проводиться інформування мешканців міста про прийняті або змінені нормативно-правові акти, що стосу</w:t>
      </w:r>
      <w:r w:rsidR="00A3438C">
        <w:rPr>
          <w:sz w:val="28"/>
          <w:szCs w:val="28"/>
        </w:rPr>
        <w:t>ю</w:t>
      </w:r>
      <w:r w:rsidR="00396449">
        <w:rPr>
          <w:sz w:val="28"/>
          <w:szCs w:val="28"/>
        </w:rPr>
        <w:t>ться норм трудового законодавства, шляхом розміщення такої інформації на офіційному веб-сайті міста</w:t>
      </w:r>
      <w:r w:rsidR="00A3438C">
        <w:rPr>
          <w:sz w:val="28"/>
          <w:szCs w:val="28"/>
        </w:rPr>
        <w:t xml:space="preserve"> та у місцевих засобах інформації</w:t>
      </w:r>
      <w:r w:rsidR="00396449">
        <w:rPr>
          <w:sz w:val="28"/>
          <w:szCs w:val="28"/>
        </w:rPr>
        <w:t>.</w:t>
      </w:r>
    </w:p>
    <w:p w:rsidR="00D84CC7" w:rsidRDefault="00A3438C" w:rsidP="00396449">
      <w:pPr>
        <w:ind w:firstLine="851"/>
        <w:jc w:val="both"/>
        <w:rPr>
          <w:sz w:val="28"/>
          <w:szCs w:val="28"/>
        </w:rPr>
      </w:pPr>
      <w:r>
        <w:rPr>
          <w:sz w:val="28"/>
          <w:szCs w:val="28"/>
        </w:rPr>
        <w:t>Ч</w:t>
      </w:r>
      <w:r w:rsidR="00396449" w:rsidRPr="00396449">
        <w:rPr>
          <w:sz w:val="28"/>
          <w:szCs w:val="28"/>
        </w:rPr>
        <w:t>ленами міської комісії з легалізації заробітної плати та зайнятості населення</w:t>
      </w:r>
      <w:r w:rsidR="00396449">
        <w:rPr>
          <w:sz w:val="28"/>
          <w:szCs w:val="28"/>
        </w:rPr>
        <w:t xml:space="preserve"> та членами рейдової міської робочої групи з питань легалізації виплати заробітної плати та зайнятості населення</w:t>
      </w:r>
      <w:r w:rsidR="00396449" w:rsidRPr="00396449">
        <w:rPr>
          <w:sz w:val="28"/>
          <w:szCs w:val="28"/>
        </w:rPr>
        <w:t xml:space="preserve">, відповідно до компетенції, постійно проводиться інформаційно-роз’яснювальна робота серед суб’єктів господарювання, </w:t>
      </w:r>
      <w:r w:rsidR="00145615">
        <w:rPr>
          <w:sz w:val="28"/>
          <w:szCs w:val="28"/>
        </w:rPr>
        <w:t>найманих працівників</w:t>
      </w:r>
      <w:r w:rsidR="00396449" w:rsidRPr="00396449">
        <w:rPr>
          <w:sz w:val="28"/>
          <w:szCs w:val="28"/>
        </w:rPr>
        <w:t xml:space="preserve"> та мешканців міста щодо значення офіційного оформлення трудових відносин та соціальних ризиків для громадян, які не легалізують свою зайнятість та отримують заробітну плату неофіційно.</w:t>
      </w:r>
    </w:p>
    <w:p w:rsidR="00A3438C" w:rsidRDefault="00396449" w:rsidP="00396449">
      <w:pPr>
        <w:ind w:firstLine="851"/>
        <w:jc w:val="both"/>
        <w:rPr>
          <w:sz w:val="28"/>
          <w:szCs w:val="28"/>
        </w:rPr>
      </w:pPr>
      <w:r w:rsidRPr="00396449">
        <w:rPr>
          <w:sz w:val="28"/>
          <w:szCs w:val="28"/>
        </w:rPr>
        <w:t xml:space="preserve"> </w:t>
      </w:r>
      <w:r w:rsidR="005158A5">
        <w:rPr>
          <w:sz w:val="28"/>
          <w:szCs w:val="28"/>
        </w:rPr>
        <w:t>Станом на 01.09.2018 року</w:t>
      </w:r>
      <w:r w:rsidR="00145615">
        <w:rPr>
          <w:sz w:val="28"/>
          <w:szCs w:val="28"/>
        </w:rPr>
        <w:t xml:space="preserve"> </w:t>
      </w:r>
      <w:r w:rsidR="00E73FA2">
        <w:rPr>
          <w:sz w:val="28"/>
          <w:szCs w:val="28"/>
        </w:rPr>
        <w:t xml:space="preserve">членами рейдової робочої групи </w:t>
      </w:r>
      <w:r w:rsidR="00145615">
        <w:rPr>
          <w:sz w:val="28"/>
          <w:szCs w:val="28"/>
        </w:rPr>
        <w:t xml:space="preserve">проведена </w:t>
      </w:r>
      <w:r w:rsidR="00895BFE">
        <w:rPr>
          <w:sz w:val="28"/>
          <w:szCs w:val="28"/>
        </w:rPr>
        <w:t xml:space="preserve">роз’яснювальна </w:t>
      </w:r>
      <w:r w:rsidR="00145615">
        <w:rPr>
          <w:sz w:val="28"/>
          <w:szCs w:val="28"/>
        </w:rPr>
        <w:t>робота</w:t>
      </w:r>
      <w:r w:rsidR="00895BFE">
        <w:rPr>
          <w:sz w:val="28"/>
          <w:szCs w:val="28"/>
        </w:rPr>
        <w:t xml:space="preserve"> та співбесіди </w:t>
      </w:r>
      <w:r w:rsidR="00145615">
        <w:rPr>
          <w:sz w:val="28"/>
          <w:szCs w:val="28"/>
        </w:rPr>
        <w:t>з</w:t>
      </w:r>
      <w:r w:rsidR="00D84CC7">
        <w:rPr>
          <w:sz w:val="28"/>
          <w:szCs w:val="28"/>
        </w:rPr>
        <w:t xml:space="preserve"> 836</w:t>
      </w:r>
      <w:r w:rsidR="00145615">
        <w:rPr>
          <w:sz w:val="28"/>
          <w:szCs w:val="28"/>
        </w:rPr>
        <w:t xml:space="preserve"> суб’єктами господарювання</w:t>
      </w:r>
      <w:r w:rsidR="00D84CC7">
        <w:rPr>
          <w:sz w:val="28"/>
          <w:szCs w:val="28"/>
        </w:rPr>
        <w:t xml:space="preserve">. </w:t>
      </w:r>
      <w:r w:rsidR="00895BFE">
        <w:rPr>
          <w:sz w:val="28"/>
          <w:szCs w:val="28"/>
        </w:rPr>
        <w:t xml:space="preserve">Кількість працівників, які не представили відповідні документи про своє працевлаштування належним чином – 48 осіб. </w:t>
      </w:r>
      <w:r w:rsidR="00D84CC7">
        <w:rPr>
          <w:sz w:val="28"/>
          <w:szCs w:val="28"/>
        </w:rPr>
        <w:t>В ході проведеної роботи додатково оформлено 50</w:t>
      </w:r>
      <w:r w:rsidR="00145615">
        <w:rPr>
          <w:sz w:val="28"/>
          <w:szCs w:val="28"/>
        </w:rPr>
        <w:t xml:space="preserve"> працівник</w:t>
      </w:r>
      <w:r w:rsidR="00D84CC7">
        <w:rPr>
          <w:sz w:val="28"/>
          <w:szCs w:val="28"/>
        </w:rPr>
        <w:t>ів, сума легалізованої заробітної плати – 186,2 тис. грн.</w:t>
      </w:r>
    </w:p>
    <w:p w:rsidR="00892E77" w:rsidRDefault="00892E77" w:rsidP="00396449">
      <w:pPr>
        <w:ind w:firstLine="851"/>
        <w:jc w:val="both"/>
        <w:rPr>
          <w:sz w:val="28"/>
          <w:szCs w:val="28"/>
        </w:rPr>
      </w:pPr>
      <w:r>
        <w:rPr>
          <w:sz w:val="28"/>
          <w:szCs w:val="28"/>
        </w:rPr>
        <w:t>Результати роботи рейдової робочої групи станом на 01.09.201</w:t>
      </w:r>
      <w:r w:rsidR="00895BFE">
        <w:rPr>
          <w:sz w:val="28"/>
          <w:szCs w:val="28"/>
        </w:rPr>
        <w:t>8 та аналогічний період минулого року представлені в таблиці:</w:t>
      </w:r>
    </w:p>
    <w:p w:rsidR="00895BFE" w:rsidRDefault="00895BFE" w:rsidP="00396449">
      <w:pPr>
        <w:ind w:firstLine="851"/>
        <w:jc w:val="both"/>
        <w:rPr>
          <w:sz w:val="28"/>
          <w:szCs w:val="28"/>
        </w:rPr>
      </w:pPr>
    </w:p>
    <w:tbl>
      <w:tblPr>
        <w:tblStyle w:val="a5"/>
        <w:tblW w:w="0" w:type="auto"/>
        <w:tblLook w:val="04A0" w:firstRow="1" w:lastRow="0" w:firstColumn="1" w:lastColumn="0" w:noHBand="0" w:noVBand="1"/>
      </w:tblPr>
      <w:tblGrid>
        <w:gridCol w:w="1702"/>
        <w:gridCol w:w="2056"/>
        <w:gridCol w:w="2334"/>
        <w:gridCol w:w="1857"/>
        <w:gridCol w:w="1679"/>
      </w:tblGrid>
      <w:tr w:rsidR="00892E77" w:rsidTr="00892E77">
        <w:tc>
          <w:tcPr>
            <w:tcW w:w="1694" w:type="dxa"/>
          </w:tcPr>
          <w:p w:rsidR="00892E77" w:rsidRDefault="00892E77" w:rsidP="00892E77">
            <w:pPr>
              <w:jc w:val="both"/>
              <w:rPr>
                <w:sz w:val="28"/>
                <w:szCs w:val="28"/>
              </w:rPr>
            </w:pPr>
          </w:p>
        </w:tc>
        <w:tc>
          <w:tcPr>
            <w:tcW w:w="2083" w:type="dxa"/>
            <w:vAlign w:val="center"/>
          </w:tcPr>
          <w:p w:rsidR="00892E77" w:rsidRPr="00892E77" w:rsidRDefault="00892E77" w:rsidP="00892E77">
            <w:pPr>
              <w:jc w:val="center"/>
              <w:rPr>
                <w:b/>
              </w:rPr>
            </w:pPr>
            <w:r w:rsidRPr="00892E77">
              <w:rPr>
                <w:b/>
              </w:rPr>
              <w:t>Кількість СГД, з якими проведена інформаційно-роз’яснювальна робота</w:t>
            </w:r>
          </w:p>
        </w:tc>
        <w:tc>
          <w:tcPr>
            <w:tcW w:w="2314" w:type="dxa"/>
            <w:vAlign w:val="center"/>
          </w:tcPr>
          <w:p w:rsidR="00892E77" w:rsidRPr="00892E77" w:rsidRDefault="00892E77" w:rsidP="00892E77">
            <w:pPr>
              <w:jc w:val="center"/>
              <w:rPr>
                <w:b/>
              </w:rPr>
            </w:pPr>
            <w:r w:rsidRPr="00892E77">
              <w:rPr>
                <w:b/>
              </w:rPr>
              <w:t>Кількість працівників, які не представили документи про своє працевлаштування</w:t>
            </w:r>
          </w:p>
        </w:tc>
        <w:tc>
          <w:tcPr>
            <w:tcW w:w="1953" w:type="dxa"/>
            <w:vAlign w:val="center"/>
          </w:tcPr>
          <w:p w:rsidR="00892E77" w:rsidRPr="00892E77" w:rsidRDefault="00892E77" w:rsidP="00892E77">
            <w:pPr>
              <w:jc w:val="center"/>
              <w:rPr>
                <w:b/>
              </w:rPr>
            </w:pPr>
            <w:r w:rsidRPr="00892E77">
              <w:rPr>
                <w:b/>
              </w:rPr>
              <w:t>Кількість додатково оформлених працівників після проведеної роботи</w:t>
            </w:r>
          </w:p>
        </w:tc>
        <w:tc>
          <w:tcPr>
            <w:tcW w:w="1584" w:type="dxa"/>
            <w:vAlign w:val="center"/>
          </w:tcPr>
          <w:p w:rsidR="00892E77" w:rsidRDefault="00892E77" w:rsidP="00892E77">
            <w:pPr>
              <w:jc w:val="center"/>
            </w:pPr>
            <w:r w:rsidRPr="00892E77">
              <w:rPr>
                <w:b/>
              </w:rPr>
              <w:t>Сума легалізованої заробітної плати</w:t>
            </w:r>
            <w:r w:rsidR="00895BFE">
              <w:rPr>
                <w:b/>
              </w:rPr>
              <w:t>,</w:t>
            </w:r>
          </w:p>
          <w:p w:rsidR="00895BFE" w:rsidRPr="00895BFE" w:rsidRDefault="00895BFE" w:rsidP="00892E77">
            <w:pPr>
              <w:jc w:val="center"/>
            </w:pPr>
            <w:r>
              <w:t>тис. грн.</w:t>
            </w:r>
          </w:p>
        </w:tc>
      </w:tr>
      <w:tr w:rsidR="00892E77" w:rsidTr="00895BFE">
        <w:tc>
          <w:tcPr>
            <w:tcW w:w="1694" w:type="dxa"/>
          </w:tcPr>
          <w:p w:rsidR="00892E77" w:rsidRDefault="007A6FB3" w:rsidP="00895BFE">
            <w:pPr>
              <w:jc w:val="center"/>
              <w:rPr>
                <w:sz w:val="28"/>
                <w:szCs w:val="28"/>
              </w:rPr>
            </w:pPr>
            <w:r>
              <w:rPr>
                <w:sz w:val="28"/>
                <w:szCs w:val="28"/>
              </w:rPr>
              <w:t xml:space="preserve">станом </w:t>
            </w:r>
            <w:r w:rsidR="00892E77">
              <w:rPr>
                <w:sz w:val="28"/>
                <w:szCs w:val="28"/>
              </w:rPr>
              <w:t xml:space="preserve">на </w:t>
            </w:r>
            <w:r w:rsidR="00892E77" w:rsidRPr="00815C57">
              <w:rPr>
                <w:b/>
                <w:sz w:val="28"/>
                <w:szCs w:val="28"/>
              </w:rPr>
              <w:t>01.09.2017р.</w:t>
            </w:r>
          </w:p>
        </w:tc>
        <w:tc>
          <w:tcPr>
            <w:tcW w:w="2083" w:type="dxa"/>
            <w:vAlign w:val="center"/>
          </w:tcPr>
          <w:p w:rsidR="00892E77" w:rsidRDefault="00895BFE" w:rsidP="00895BFE">
            <w:pPr>
              <w:jc w:val="center"/>
              <w:rPr>
                <w:sz w:val="28"/>
                <w:szCs w:val="28"/>
              </w:rPr>
            </w:pPr>
            <w:r>
              <w:rPr>
                <w:sz w:val="28"/>
                <w:szCs w:val="28"/>
              </w:rPr>
              <w:t>312</w:t>
            </w:r>
          </w:p>
        </w:tc>
        <w:tc>
          <w:tcPr>
            <w:tcW w:w="2314" w:type="dxa"/>
            <w:vAlign w:val="center"/>
          </w:tcPr>
          <w:p w:rsidR="00892E77" w:rsidRDefault="00895BFE" w:rsidP="00895BFE">
            <w:pPr>
              <w:jc w:val="center"/>
              <w:rPr>
                <w:sz w:val="28"/>
                <w:szCs w:val="28"/>
              </w:rPr>
            </w:pPr>
            <w:r>
              <w:rPr>
                <w:sz w:val="28"/>
                <w:szCs w:val="28"/>
              </w:rPr>
              <w:t>34</w:t>
            </w:r>
          </w:p>
        </w:tc>
        <w:tc>
          <w:tcPr>
            <w:tcW w:w="1953" w:type="dxa"/>
            <w:vAlign w:val="center"/>
          </w:tcPr>
          <w:p w:rsidR="00892E77" w:rsidRDefault="00895BFE" w:rsidP="00895BFE">
            <w:pPr>
              <w:jc w:val="center"/>
              <w:rPr>
                <w:sz w:val="28"/>
                <w:szCs w:val="28"/>
              </w:rPr>
            </w:pPr>
            <w:r>
              <w:rPr>
                <w:sz w:val="28"/>
                <w:szCs w:val="28"/>
              </w:rPr>
              <w:t>14</w:t>
            </w:r>
          </w:p>
        </w:tc>
        <w:tc>
          <w:tcPr>
            <w:tcW w:w="1584" w:type="dxa"/>
            <w:vAlign w:val="center"/>
          </w:tcPr>
          <w:p w:rsidR="00892E77" w:rsidRDefault="00895BFE" w:rsidP="00895BFE">
            <w:pPr>
              <w:jc w:val="center"/>
              <w:rPr>
                <w:sz w:val="28"/>
                <w:szCs w:val="28"/>
              </w:rPr>
            </w:pPr>
            <w:r>
              <w:rPr>
                <w:sz w:val="28"/>
                <w:szCs w:val="28"/>
              </w:rPr>
              <w:t>44,8</w:t>
            </w:r>
          </w:p>
        </w:tc>
      </w:tr>
      <w:tr w:rsidR="00892E77" w:rsidTr="00895BFE">
        <w:tc>
          <w:tcPr>
            <w:tcW w:w="1694" w:type="dxa"/>
          </w:tcPr>
          <w:p w:rsidR="00892E77" w:rsidRDefault="007A6FB3" w:rsidP="00895BFE">
            <w:pPr>
              <w:jc w:val="center"/>
              <w:rPr>
                <w:sz w:val="28"/>
                <w:szCs w:val="28"/>
              </w:rPr>
            </w:pPr>
            <w:r>
              <w:rPr>
                <w:sz w:val="28"/>
                <w:szCs w:val="28"/>
              </w:rPr>
              <w:t xml:space="preserve">станом </w:t>
            </w:r>
            <w:r w:rsidR="00892E77">
              <w:rPr>
                <w:sz w:val="28"/>
                <w:szCs w:val="28"/>
              </w:rPr>
              <w:t xml:space="preserve">на </w:t>
            </w:r>
            <w:r w:rsidR="00892E77" w:rsidRPr="00815C57">
              <w:rPr>
                <w:b/>
                <w:sz w:val="28"/>
                <w:szCs w:val="28"/>
              </w:rPr>
              <w:t>01.09.2018р.</w:t>
            </w:r>
          </w:p>
        </w:tc>
        <w:tc>
          <w:tcPr>
            <w:tcW w:w="2083" w:type="dxa"/>
            <w:vAlign w:val="center"/>
          </w:tcPr>
          <w:p w:rsidR="00892E77" w:rsidRDefault="00895BFE" w:rsidP="00895BFE">
            <w:pPr>
              <w:jc w:val="center"/>
              <w:rPr>
                <w:sz w:val="28"/>
                <w:szCs w:val="28"/>
              </w:rPr>
            </w:pPr>
            <w:r>
              <w:rPr>
                <w:sz w:val="28"/>
                <w:szCs w:val="28"/>
              </w:rPr>
              <w:t>836</w:t>
            </w:r>
          </w:p>
        </w:tc>
        <w:tc>
          <w:tcPr>
            <w:tcW w:w="2314" w:type="dxa"/>
            <w:vAlign w:val="center"/>
          </w:tcPr>
          <w:p w:rsidR="00892E77" w:rsidRDefault="000166F7" w:rsidP="00895BFE">
            <w:pPr>
              <w:jc w:val="center"/>
              <w:rPr>
                <w:sz w:val="28"/>
                <w:szCs w:val="28"/>
              </w:rPr>
            </w:pPr>
            <w:r>
              <w:rPr>
                <w:sz w:val="28"/>
                <w:szCs w:val="28"/>
              </w:rPr>
              <w:t>48</w:t>
            </w:r>
          </w:p>
        </w:tc>
        <w:tc>
          <w:tcPr>
            <w:tcW w:w="1953" w:type="dxa"/>
            <w:vAlign w:val="center"/>
          </w:tcPr>
          <w:p w:rsidR="00892E77" w:rsidRDefault="000166F7" w:rsidP="00895BFE">
            <w:pPr>
              <w:jc w:val="center"/>
              <w:rPr>
                <w:sz w:val="28"/>
                <w:szCs w:val="28"/>
              </w:rPr>
            </w:pPr>
            <w:r>
              <w:rPr>
                <w:sz w:val="28"/>
                <w:szCs w:val="28"/>
              </w:rPr>
              <w:t>50</w:t>
            </w:r>
          </w:p>
        </w:tc>
        <w:tc>
          <w:tcPr>
            <w:tcW w:w="1584" w:type="dxa"/>
            <w:vAlign w:val="center"/>
          </w:tcPr>
          <w:p w:rsidR="00892E77" w:rsidRDefault="000166F7" w:rsidP="00895BFE">
            <w:pPr>
              <w:jc w:val="center"/>
              <w:rPr>
                <w:sz w:val="28"/>
                <w:szCs w:val="28"/>
              </w:rPr>
            </w:pPr>
            <w:r>
              <w:rPr>
                <w:sz w:val="28"/>
                <w:szCs w:val="28"/>
              </w:rPr>
              <w:t>186,2</w:t>
            </w:r>
          </w:p>
        </w:tc>
      </w:tr>
    </w:tbl>
    <w:p w:rsidR="00892E77" w:rsidRDefault="00892E77" w:rsidP="00892E77">
      <w:pPr>
        <w:jc w:val="both"/>
        <w:rPr>
          <w:sz w:val="28"/>
          <w:szCs w:val="28"/>
        </w:rPr>
      </w:pPr>
    </w:p>
    <w:p w:rsidR="00815C57" w:rsidRDefault="00815C57" w:rsidP="00C60C71">
      <w:pPr>
        <w:ind w:firstLine="851"/>
        <w:jc w:val="both"/>
        <w:rPr>
          <w:sz w:val="28"/>
          <w:szCs w:val="28"/>
        </w:rPr>
      </w:pPr>
      <w:r>
        <w:rPr>
          <w:sz w:val="28"/>
          <w:szCs w:val="28"/>
        </w:rPr>
        <w:t xml:space="preserve">Аналізуючи інформацію управління ПФУ в м. Івано-Франківську слід зауважити, що станом на 01.09.2018 року у порівнянні з початком року збільшилась кількість найманих працівників, які працюють у фізичних осіб-підприємців </w:t>
      </w:r>
      <w:r w:rsidR="00F632B7">
        <w:rPr>
          <w:sz w:val="28"/>
          <w:szCs w:val="28"/>
        </w:rPr>
        <w:t xml:space="preserve">на 767 осіб </w:t>
      </w:r>
      <w:r>
        <w:rPr>
          <w:sz w:val="28"/>
          <w:szCs w:val="28"/>
        </w:rPr>
        <w:t xml:space="preserve">(з </w:t>
      </w:r>
      <w:r w:rsidR="00F632B7">
        <w:rPr>
          <w:sz w:val="28"/>
          <w:szCs w:val="28"/>
        </w:rPr>
        <w:t>8666</w:t>
      </w:r>
      <w:r>
        <w:rPr>
          <w:sz w:val="28"/>
          <w:szCs w:val="28"/>
        </w:rPr>
        <w:t xml:space="preserve"> до</w:t>
      </w:r>
      <w:r w:rsidR="00F632B7">
        <w:rPr>
          <w:sz w:val="28"/>
          <w:szCs w:val="28"/>
        </w:rPr>
        <w:t xml:space="preserve"> 9433</w:t>
      </w:r>
      <w:r>
        <w:rPr>
          <w:sz w:val="28"/>
          <w:szCs w:val="28"/>
        </w:rPr>
        <w:t>).</w:t>
      </w:r>
      <w:r w:rsidR="00221E1D">
        <w:rPr>
          <w:sz w:val="28"/>
          <w:szCs w:val="28"/>
        </w:rPr>
        <w:t xml:space="preserve"> </w:t>
      </w:r>
    </w:p>
    <w:p w:rsidR="00815C57" w:rsidRDefault="00815C57" w:rsidP="00C60C71">
      <w:pPr>
        <w:ind w:firstLine="851"/>
        <w:jc w:val="both"/>
        <w:rPr>
          <w:sz w:val="28"/>
          <w:szCs w:val="28"/>
        </w:rPr>
      </w:pPr>
    </w:p>
    <w:p w:rsidR="00815C57" w:rsidRDefault="00815C57" w:rsidP="00815C57">
      <w:pPr>
        <w:jc w:val="center"/>
        <w:rPr>
          <w:sz w:val="28"/>
          <w:szCs w:val="28"/>
        </w:rPr>
      </w:pPr>
      <w:r>
        <w:rPr>
          <w:sz w:val="28"/>
          <w:szCs w:val="28"/>
        </w:rPr>
        <w:t>Динаміка кількості фізичних осіб-підприємців на загальній та спрощеній системі оподаткування та кількість працівників у них</w:t>
      </w:r>
    </w:p>
    <w:tbl>
      <w:tblPr>
        <w:tblW w:w="9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6"/>
        <w:gridCol w:w="1099"/>
        <w:gridCol w:w="1331"/>
        <w:gridCol w:w="1331"/>
        <w:gridCol w:w="1099"/>
        <w:gridCol w:w="1331"/>
        <w:gridCol w:w="1331"/>
      </w:tblGrid>
      <w:tr w:rsidR="00815C57" w:rsidRPr="00A85A54" w:rsidTr="00C158EA">
        <w:tc>
          <w:tcPr>
            <w:tcW w:w="1996" w:type="dxa"/>
            <w:vMerge w:val="restart"/>
            <w:shd w:val="clear" w:color="auto" w:fill="auto"/>
          </w:tcPr>
          <w:p w:rsidR="00815C57" w:rsidRPr="00A85A54" w:rsidRDefault="00815C57" w:rsidP="00C158EA">
            <w:pPr>
              <w:jc w:val="both"/>
              <w:rPr>
                <w:sz w:val="28"/>
                <w:szCs w:val="28"/>
              </w:rPr>
            </w:pPr>
          </w:p>
        </w:tc>
        <w:tc>
          <w:tcPr>
            <w:tcW w:w="3761" w:type="dxa"/>
            <w:gridSpan w:val="3"/>
            <w:shd w:val="clear" w:color="auto" w:fill="auto"/>
          </w:tcPr>
          <w:p w:rsidR="00815C57" w:rsidRPr="00A85A54" w:rsidRDefault="00815C57" w:rsidP="00C158EA">
            <w:pPr>
              <w:jc w:val="center"/>
              <w:rPr>
                <w:b/>
                <w:sz w:val="22"/>
                <w:szCs w:val="22"/>
              </w:rPr>
            </w:pPr>
            <w:r w:rsidRPr="00A85A54">
              <w:rPr>
                <w:b/>
                <w:sz w:val="22"/>
                <w:szCs w:val="22"/>
              </w:rPr>
              <w:t>Станом на 01.01.201</w:t>
            </w:r>
            <w:r>
              <w:rPr>
                <w:b/>
                <w:sz w:val="22"/>
                <w:szCs w:val="22"/>
              </w:rPr>
              <w:t>8</w:t>
            </w:r>
          </w:p>
        </w:tc>
        <w:tc>
          <w:tcPr>
            <w:tcW w:w="3761" w:type="dxa"/>
            <w:gridSpan w:val="3"/>
            <w:shd w:val="clear" w:color="auto" w:fill="auto"/>
          </w:tcPr>
          <w:p w:rsidR="00815C57" w:rsidRPr="00A85A54" w:rsidRDefault="00815C57" w:rsidP="00815C57">
            <w:pPr>
              <w:jc w:val="center"/>
              <w:rPr>
                <w:b/>
                <w:sz w:val="22"/>
                <w:szCs w:val="22"/>
              </w:rPr>
            </w:pPr>
            <w:r w:rsidRPr="00A85A54">
              <w:rPr>
                <w:b/>
                <w:sz w:val="22"/>
                <w:szCs w:val="22"/>
              </w:rPr>
              <w:t>Станом на 01.</w:t>
            </w:r>
            <w:r>
              <w:rPr>
                <w:b/>
                <w:sz w:val="22"/>
                <w:szCs w:val="22"/>
              </w:rPr>
              <w:t>09</w:t>
            </w:r>
            <w:r w:rsidRPr="00A85A54">
              <w:rPr>
                <w:b/>
                <w:sz w:val="22"/>
                <w:szCs w:val="22"/>
              </w:rPr>
              <w:t>.201</w:t>
            </w:r>
            <w:r>
              <w:rPr>
                <w:b/>
                <w:sz w:val="22"/>
                <w:szCs w:val="22"/>
              </w:rPr>
              <w:t>8</w:t>
            </w:r>
          </w:p>
        </w:tc>
      </w:tr>
      <w:tr w:rsidR="00815C57" w:rsidRPr="00A85A54" w:rsidTr="005D624D">
        <w:tc>
          <w:tcPr>
            <w:tcW w:w="1996" w:type="dxa"/>
            <w:vMerge/>
            <w:shd w:val="clear" w:color="auto" w:fill="auto"/>
          </w:tcPr>
          <w:p w:rsidR="00815C57" w:rsidRPr="00A85A54" w:rsidRDefault="00815C57" w:rsidP="00C158EA">
            <w:pPr>
              <w:jc w:val="both"/>
              <w:rPr>
                <w:sz w:val="28"/>
                <w:szCs w:val="28"/>
              </w:rPr>
            </w:pPr>
          </w:p>
        </w:tc>
        <w:tc>
          <w:tcPr>
            <w:tcW w:w="1099" w:type="dxa"/>
            <w:shd w:val="clear" w:color="auto" w:fill="auto"/>
            <w:vAlign w:val="center"/>
          </w:tcPr>
          <w:p w:rsidR="00815C57" w:rsidRPr="00A85A54" w:rsidRDefault="00815C57" w:rsidP="00C158EA">
            <w:pPr>
              <w:jc w:val="center"/>
              <w:rPr>
                <w:b/>
                <w:sz w:val="20"/>
                <w:szCs w:val="20"/>
              </w:rPr>
            </w:pPr>
            <w:r w:rsidRPr="00A85A54">
              <w:rPr>
                <w:b/>
                <w:sz w:val="20"/>
                <w:szCs w:val="20"/>
              </w:rPr>
              <w:t xml:space="preserve">Кількість </w:t>
            </w:r>
            <w:r>
              <w:rPr>
                <w:b/>
                <w:sz w:val="20"/>
                <w:szCs w:val="20"/>
              </w:rPr>
              <w:t>СГД</w:t>
            </w:r>
          </w:p>
        </w:tc>
        <w:tc>
          <w:tcPr>
            <w:tcW w:w="1331" w:type="dxa"/>
            <w:shd w:val="clear" w:color="auto" w:fill="auto"/>
            <w:vAlign w:val="center"/>
          </w:tcPr>
          <w:p w:rsidR="00815C57" w:rsidRPr="00A85A54" w:rsidRDefault="00815C57" w:rsidP="00C158EA">
            <w:pPr>
              <w:jc w:val="center"/>
              <w:rPr>
                <w:b/>
                <w:sz w:val="20"/>
                <w:szCs w:val="20"/>
              </w:rPr>
            </w:pPr>
            <w:r>
              <w:rPr>
                <w:b/>
                <w:sz w:val="20"/>
                <w:szCs w:val="20"/>
              </w:rPr>
              <w:t>з них мають найманих працівників</w:t>
            </w:r>
          </w:p>
        </w:tc>
        <w:tc>
          <w:tcPr>
            <w:tcW w:w="1331" w:type="dxa"/>
            <w:vAlign w:val="center"/>
          </w:tcPr>
          <w:p w:rsidR="00815C57" w:rsidRPr="00A85A54" w:rsidRDefault="00815C57" w:rsidP="00C158EA">
            <w:pPr>
              <w:jc w:val="center"/>
              <w:rPr>
                <w:b/>
                <w:sz w:val="20"/>
                <w:szCs w:val="20"/>
              </w:rPr>
            </w:pPr>
            <w:r>
              <w:rPr>
                <w:b/>
                <w:sz w:val="20"/>
                <w:szCs w:val="20"/>
              </w:rPr>
              <w:t>кількість найманих працівників</w:t>
            </w:r>
          </w:p>
        </w:tc>
        <w:tc>
          <w:tcPr>
            <w:tcW w:w="1099" w:type="dxa"/>
            <w:shd w:val="clear" w:color="auto" w:fill="auto"/>
            <w:vAlign w:val="center"/>
          </w:tcPr>
          <w:p w:rsidR="00815C57" w:rsidRPr="00A85A54" w:rsidRDefault="00815C57" w:rsidP="00C158EA">
            <w:pPr>
              <w:jc w:val="center"/>
              <w:rPr>
                <w:b/>
                <w:sz w:val="20"/>
                <w:szCs w:val="20"/>
              </w:rPr>
            </w:pPr>
            <w:r w:rsidRPr="00A85A54">
              <w:rPr>
                <w:b/>
                <w:sz w:val="20"/>
                <w:szCs w:val="20"/>
              </w:rPr>
              <w:t xml:space="preserve">Кількість </w:t>
            </w:r>
            <w:r>
              <w:rPr>
                <w:b/>
                <w:sz w:val="20"/>
                <w:szCs w:val="20"/>
              </w:rPr>
              <w:t>СГД</w:t>
            </w:r>
          </w:p>
        </w:tc>
        <w:tc>
          <w:tcPr>
            <w:tcW w:w="1331" w:type="dxa"/>
            <w:shd w:val="clear" w:color="auto" w:fill="auto"/>
            <w:vAlign w:val="center"/>
          </w:tcPr>
          <w:p w:rsidR="00815C57" w:rsidRPr="00A85A54" w:rsidRDefault="00815C57" w:rsidP="00C158EA">
            <w:pPr>
              <w:jc w:val="center"/>
              <w:rPr>
                <w:b/>
                <w:sz w:val="20"/>
                <w:szCs w:val="20"/>
              </w:rPr>
            </w:pPr>
            <w:r>
              <w:rPr>
                <w:b/>
                <w:sz w:val="20"/>
                <w:szCs w:val="20"/>
              </w:rPr>
              <w:t>з них мають найманих працівників</w:t>
            </w:r>
          </w:p>
        </w:tc>
        <w:tc>
          <w:tcPr>
            <w:tcW w:w="1331" w:type="dxa"/>
            <w:vAlign w:val="center"/>
          </w:tcPr>
          <w:p w:rsidR="00815C57" w:rsidRPr="00A85A54" w:rsidRDefault="00815C57" w:rsidP="00C158EA">
            <w:pPr>
              <w:jc w:val="center"/>
              <w:rPr>
                <w:b/>
                <w:sz w:val="20"/>
                <w:szCs w:val="20"/>
              </w:rPr>
            </w:pPr>
            <w:r>
              <w:rPr>
                <w:b/>
                <w:sz w:val="20"/>
                <w:szCs w:val="20"/>
              </w:rPr>
              <w:t>кількість найманих працівників</w:t>
            </w:r>
          </w:p>
        </w:tc>
      </w:tr>
      <w:tr w:rsidR="00815C57" w:rsidRPr="00A85A54" w:rsidTr="00C158EA">
        <w:tc>
          <w:tcPr>
            <w:tcW w:w="1996" w:type="dxa"/>
            <w:shd w:val="clear" w:color="auto" w:fill="auto"/>
          </w:tcPr>
          <w:p w:rsidR="00815C57" w:rsidRPr="006E6615" w:rsidRDefault="00815C57" w:rsidP="00C158EA">
            <w:pPr>
              <w:jc w:val="center"/>
            </w:pPr>
            <w:r w:rsidRPr="006E6615">
              <w:t>ФОП на загальній с-мі оподаткування</w:t>
            </w:r>
          </w:p>
        </w:tc>
        <w:tc>
          <w:tcPr>
            <w:tcW w:w="1099" w:type="dxa"/>
            <w:shd w:val="clear" w:color="auto" w:fill="auto"/>
            <w:vAlign w:val="center"/>
          </w:tcPr>
          <w:p w:rsidR="00815C57" w:rsidRPr="00A85A54" w:rsidRDefault="00815C57" w:rsidP="00C158EA">
            <w:pPr>
              <w:jc w:val="center"/>
              <w:rPr>
                <w:b/>
                <w:sz w:val="28"/>
                <w:szCs w:val="28"/>
              </w:rPr>
            </w:pPr>
            <w:r>
              <w:rPr>
                <w:b/>
                <w:sz w:val="28"/>
                <w:szCs w:val="28"/>
              </w:rPr>
              <w:t>5375</w:t>
            </w:r>
          </w:p>
        </w:tc>
        <w:tc>
          <w:tcPr>
            <w:tcW w:w="1331" w:type="dxa"/>
            <w:shd w:val="clear" w:color="auto" w:fill="auto"/>
            <w:vAlign w:val="center"/>
          </w:tcPr>
          <w:p w:rsidR="00815C57" w:rsidRPr="00A85A54" w:rsidRDefault="00815C57" w:rsidP="00C158EA">
            <w:pPr>
              <w:jc w:val="center"/>
              <w:rPr>
                <w:b/>
                <w:sz w:val="28"/>
                <w:szCs w:val="28"/>
              </w:rPr>
            </w:pPr>
            <w:r>
              <w:rPr>
                <w:b/>
                <w:sz w:val="28"/>
                <w:szCs w:val="28"/>
              </w:rPr>
              <w:t>1250</w:t>
            </w:r>
          </w:p>
        </w:tc>
        <w:tc>
          <w:tcPr>
            <w:tcW w:w="1331" w:type="dxa"/>
            <w:vAlign w:val="center"/>
          </w:tcPr>
          <w:p w:rsidR="00815C57" w:rsidRPr="00A85A54" w:rsidRDefault="00815C57" w:rsidP="00C158EA">
            <w:pPr>
              <w:jc w:val="center"/>
              <w:rPr>
                <w:b/>
                <w:sz w:val="28"/>
                <w:szCs w:val="28"/>
              </w:rPr>
            </w:pPr>
            <w:r>
              <w:rPr>
                <w:b/>
                <w:sz w:val="28"/>
                <w:szCs w:val="28"/>
              </w:rPr>
              <w:t>1734 ос.</w:t>
            </w:r>
          </w:p>
        </w:tc>
        <w:tc>
          <w:tcPr>
            <w:tcW w:w="1099" w:type="dxa"/>
            <w:shd w:val="clear" w:color="auto" w:fill="auto"/>
            <w:vAlign w:val="center"/>
          </w:tcPr>
          <w:p w:rsidR="00815C57" w:rsidRPr="00A85A54" w:rsidRDefault="00815C57" w:rsidP="00C158EA">
            <w:pPr>
              <w:jc w:val="center"/>
              <w:rPr>
                <w:b/>
                <w:sz w:val="28"/>
                <w:szCs w:val="28"/>
              </w:rPr>
            </w:pPr>
            <w:r>
              <w:rPr>
                <w:b/>
                <w:sz w:val="28"/>
                <w:szCs w:val="28"/>
              </w:rPr>
              <w:t>5330</w:t>
            </w:r>
          </w:p>
        </w:tc>
        <w:tc>
          <w:tcPr>
            <w:tcW w:w="1331" w:type="dxa"/>
            <w:shd w:val="clear" w:color="auto" w:fill="auto"/>
            <w:vAlign w:val="center"/>
          </w:tcPr>
          <w:p w:rsidR="00815C57" w:rsidRPr="00A85A54" w:rsidRDefault="00815C57" w:rsidP="00C158EA">
            <w:pPr>
              <w:jc w:val="center"/>
              <w:rPr>
                <w:b/>
                <w:sz w:val="28"/>
                <w:szCs w:val="28"/>
              </w:rPr>
            </w:pPr>
            <w:r>
              <w:rPr>
                <w:b/>
                <w:sz w:val="28"/>
                <w:szCs w:val="28"/>
              </w:rPr>
              <w:t>1392</w:t>
            </w:r>
          </w:p>
        </w:tc>
        <w:tc>
          <w:tcPr>
            <w:tcW w:w="1331" w:type="dxa"/>
            <w:vAlign w:val="center"/>
          </w:tcPr>
          <w:p w:rsidR="00815C57" w:rsidRPr="00A85A54" w:rsidRDefault="00815C57" w:rsidP="00C158EA">
            <w:pPr>
              <w:jc w:val="center"/>
              <w:rPr>
                <w:b/>
                <w:sz w:val="28"/>
                <w:szCs w:val="28"/>
              </w:rPr>
            </w:pPr>
            <w:r>
              <w:rPr>
                <w:b/>
                <w:sz w:val="28"/>
                <w:szCs w:val="28"/>
              </w:rPr>
              <w:t>2097 ос.</w:t>
            </w:r>
          </w:p>
        </w:tc>
      </w:tr>
      <w:tr w:rsidR="00815C57" w:rsidRPr="00A85A54" w:rsidTr="00C158EA">
        <w:tc>
          <w:tcPr>
            <w:tcW w:w="1996" w:type="dxa"/>
            <w:shd w:val="clear" w:color="auto" w:fill="auto"/>
          </w:tcPr>
          <w:p w:rsidR="00815C57" w:rsidRPr="006E6615" w:rsidRDefault="00815C57" w:rsidP="00C158EA">
            <w:pPr>
              <w:jc w:val="center"/>
            </w:pPr>
            <w:r w:rsidRPr="006E6615">
              <w:t>ФОП на спрощеній системі оподаткування</w:t>
            </w:r>
          </w:p>
        </w:tc>
        <w:tc>
          <w:tcPr>
            <w:tcW w:w="1099" w:type="dxa"/>
            <w:shd w:val="clear" w:color="auto" w:fill="auto"/>
            <w:vAlign w:val="center"/>
          </w:tcPr>
          <w:p w:rsidR="00815C57" w:rsidRPr="00A85A54" w:rsidRDefault="00815C57" w:rsidP="00815C57">
            <w:pPr>
              <w:jc w:val="center"/>
              <w:rPr>
                <w:b/>
                <w:sz w:val="28"/>
                <w:szCs w:val="28"/>
              </w:rPr>
            </w:pPr>
            <w:r>
              <w:rPr>
                <w:b/>
                <w:sz w:val="28"/>
                <w:szCs w:val="28"/>
              </w:rPr>
              <w:t>8045</w:t>
            </w:r>
          </w:p>
        </w:tc>
        <w:tc>
          <w:tcPr>
            <w:tcW w:w="1331" w:type="dxa"/>
            <w:shd w:val="clear" w:color="auto" w:fill="auto"/>
            <w:vAlign w:val="center"/>
          </w:tcPr>
          <w:p w:rsidR="00815C57" w:rsidRPr="00A85A54" w:rsidRDefault="00815C57" w:rsidP="00C158EA">
            <w:pPr>
              <w:jc w:val="center"/>
              <w:rPr>
                <w:b/>
                <w:sz w:val="28"/>
                <w:szCs w:val="28"/>
              </w:rPr>
            </w:pPr>
            <w:r>
              <w:rPr>
                <w:b/>
                <w:sz w:val="28"/>
                <w:szCs w:val="28"/>
              </w:rPr>
              <w:t>3149</w:t>
            </w:r>
          </w:p>
        </w:tc>
        <w:tc>
          <w:tcPr>
            <w:tcW w:w="1331" w:type="dxa"/>
            <w:vAlign w:val="center"/>
          </w:tcPr>
          <w:p w:rsidR="00815C57" w:rsidRPr="00A85A54" w:rsidRDefault="00815C57" w:rsidP="00C158EA">
            <w:pPr>
              <w:jc w:val="center"/>
              <w:rPr>
                <w:b/>
                <w:sz w:val="28"/>
                <w:szCs w:val="28"/>
              </w:rPr>
            </w:pPr>
            <w:r>
              <w:rPr>
                <w:b/>
                <w:sz w:val="28"/>
                <w:szCs w:val="28"/>
              </w:rPr>
              <w:t>6932 ос.</w:t>
            </w:r>
          </w:p>
        </w:tc>
        <w:tc>
          <w:tcPr>
            <w:tcW w:w="1099" w:type="dxa"/>
            <w:shd w:val="clear" w:color="auto" w:fill="auto"/>
            <w:vAlign w:val="center"/>
          </w:tcPr>
          <w:p w:rsidR="00815C57" w:rsidRPr="00A85A54" w:rsidRDefault="00815C57" w:rsidP="00C158EA">
            <w:pPr>
              <w:jc w:val="center"/>
              <w:rPr>
                <w:b/>
                <w:sz w:val="28"/>
                <w:szCs w:val="28"/>
              </w:rPr>
            </w:pPr>
            <w:r>
              <w:rPr>
                <w:b/>
                <w:sz w:val="28"/>
                <w:szCs w:val="28"/>
              </w:rPr>
              <w:t>8853</w:t>
            </w:r>
          </w:p>
        </w:tc>
        <w:tc>
          <w:tcPr>
            <w:tcW w:w="1331" w:type="dxa"/>
            <w:shd w:val="clear" w:color="auto" w:fill="auto"/>
            <w:vAlign w:val="center"/>
          </w:tcPr>
          <w:p w:rsidR="00815C57" w:rsidRPr="00A85A54" w:rsidRDefault="00815C57" w:rsidP="00C158EA">
            <w:pPr>
              <w:jc w:val="center"/>
              <w:rPr>
                <w:b/>
                <w:sz w:val="28"/>
                <w:szCs w:val="28"/>
              </w:rPr>
            </w:pPr>
            <w:r>
              <w:rPr>
                <w:b/>
                <w:sz w:val="28"/>
                <w:szCs w:val="28"/>
              </w:rPr>
              <w:t>3361</w:t>
            </w:r>
          </w:p>
        </w:tc>
        <w:tc>
          <w:tcPr>
            <w:tcW w:w="1331" w:type="dxa"/>
            <w:vAlign w:val="center"/>
          </w:tcPr>
          <w:p w:rsidR="00815C57" w:rsidRPr="00A85A54" w:rsidRDefault="00815C57" w:rsidP="00815C57">
            <w:pPr>
              <w:jc w:val="center"/>
              <w:rPr>
                <w:b/>
                <w:sz w:val="28"/>
                <w:szCs w:val="28"/>
              </w:rPr>
            </w:pPr>
            <w:r>
              <w:rPr>
                <w:b/>
                <w:sz w:val="28"/>
                <w:szCs w:val="28"/>
              </w:rPr>
              <w:t>7336 ос.</w:t>
            </w:r>
          </w:p>
        </w:tc>
      </w:tr>
      <w:tr w:rsidR="00815C57" w:rsidRPr="00A85A54" w:rsidTr="00C158EA">
        <w:tc>
          <w:tcPr>
            <w:tcW w:w="1996" w:type="dxa"/>
            <w:shd w:val="clear" w:color="auto" w:fill="auto"/>
          </w:tcPr>
          <w:p w:rsidR="00815C57" w:rsidRPr="00A85A54" w:rsidRDefault="00815C57" w:rsidP="00C158EA">
            <w:pPr>
              <w:jc w:val="right"/>
              <w:rPr>
                <w:sz w:val="28"/>
                <w:szCs w:val="28"/>
              </w:rPr>
            </w:pPr>
            <w:r w:rsidRPr="00A85A54">
              <w:rPr>
                <w:sz w:val="28"/>
                <w:szCs w:val="28"/>
              </w:rPr>
              <w:t>Разом</w:t>
            </w:r>
          </w:p>
        </w:tc>
        <w:tc>
          <w:tcPr>
            <w:tcW w:w="1099" w:type="dxa"/>
            <w:shd w:val="clear" w:color="auto" w:fill="auto"/>
            <w:vAlign w:val="center"/>
          </w:tcPr>
          <w:p w:rsidR="00815C57" w:rsidRPr="00A85A54" w:rsidRDefault="00815C57" w:rsidP="00815C57">
            <w:pPr>
              <w:jc w:val="center"/>
              <w:rPr>
                <w:b/>
                <w:sz w:val="28"/>
                <w:szCs w:val="28"/>
              </w:rPr>
            </w:pPr>
            <w:r>
              <w:rPr>
                <w:b/>
                <w:sz w:val="28"/>
                <w:szCs w:val="28"/>
              </w:rPr>
              <w:t>13420</w:t>
            </w:r>
          </w:p>
        </w:tc>
        <w:tc>
          <w:tcPr>
            <w:tcW w:w="1331" w:type="dxa"/>
            <w:shd w:val="clear" w:color="auto" w:fill="auto"/>
            <w:vAlign w:val="center"/>
          </w:tcPr>
          <w:p w:rsidR="00815C57" w:rsidRPr="00A85A54" w:rsidRDefault="00815C57" w:rsidP="00C158EA">
            <w:pPr>
              <w:jc w:val="center"/>
              <w:rPr>
                <w:b/>
                <w:sz w:val="28"/>
                <w:szCs w:val="28"/>
              </w:rPr>
            </w:pPr>
            <w:r>
              <w:rPr>
                <w:b/>
                <w:sz w:val="28"/>
                <w:szCs w:val="28"/>
              </w:rPr>
              <w:t>4399</w:t>
            </w:r>
          </w:p>
        </w:tc>
        <w:tc>
          <w:tcPr>
            <w:tcW w:w="1331" w:type="dxa"/>
          </w:tcPr>
          <w:p w:rsidR="00815C57" w:rsidRPr="00A85A54" w:rsidRDefault="00815C57" w:rsidP="00C158EA">
            <w:pPr>
              <w:jc w:val="center"/>
              <w:rPr>
                <w:b/>
                <w:sz w:val="28"/>
                <w:szCs w:val="28"/>
              </w:rPr>
            </w:pPr>
            <w:r>
              <w:rPr>
                <w:b/>
                <w:sz w:val="28"/>
                <w:szCs w:val="28"/>
              </w:rPr>
              <w:t>8666 ос.</w:t>
            </w:r>
          </w:p>
        </w:tc>
        <w:tc>
          <w:tcPr>
            <w:tcW w:w="1099" w:type="dxa"/>
            <w:shd w:val="clear" w:color="auto" w:fill="auto"/>
            <w:vAlign w:val="center"/>
          </w:tcPr>
          <w:p w:rsidR="00815C57" w:rsidRPr="00A85A54" w:rsidRDefault="00F632B7" w:rsidP="00C158EA">
            <w:pPr>
              <w:jc w:val="center"/>
              <w:rPr>
                <w:b/>
                <w:sz w:val="28"/>
                <w:szCs w:val="28"/>
              </w:rPr>
            </w:pPr>
            <w:r>
              <w:rPr>
                <w:b/>
                <w:sz w:val="28"/>
                <w:szCs w:val="28"/>
              </w:rPr>
              <w:t>14183</w:t>
            </w:r>
          </w:p>
        </w:tc>
        <w:tc>
          <w:tcPr>
            <w:tcW w:w="1331" w:type="dxa"/>
            <w:shd w:val="clear" w:color="auto" w:fill="auto"/>
            <w:vAlign w:val="center"/>
          </w:tcPr>
          <w:p w:rsidR="00815C57" w:rsidRPr="00A85A54" w:rsidRDefault="00F632B7" w:rsidP="00C158EA">
            <w:pPr>
              <w:jc w:val="center"/>
              <w:rPr>
                <w:b/>
                <w:sz w:val="28"/>
                <w:szCs w:val="28"/>
              </w:rPr>
            </w:pPr>
            <w:r>
              <w:rPr>
                <w:b/>
                <w:sz w:val="28"/>
                <w:szCs w:val="28"/>
              </w:rPr>
              <w:t>4753</w:t>
            </w:r>
          </w:p>
        </w:tc>
        <w:tc>
          <w:tcPr>
            <w:tcW w:w="1331" w:type="dxa"/>
          </w:tcPr>
          <w:p w:rsidR="00815C57" w:rsidRPr="00A85A54" w:rsidRDefault="00F632B7" w:rsidP="00C158EA">
            <w:pPr>
              <w:jc w:val="center"/>
              <w:rPr>
                <w:b/>
                <w:sz w:val="28"/>
                <w:szCs w:val="28"/>
              </w:rPr>
            </w:pPr>
            <w:r>
              <w:rPr>
                <w:b/>
                <w:sz w:val="28"/>
                <w:szCs w:val="28"/>
              </w:rPr>
              <w:t>9433 ос.</w:t>
            </w:r>
          </w:p>
        </w:tc>
      </w:tr>
    </w:tbl>
    <w:p w:rsidR="00F632B7" w:rsidRDefault="00F632B7" w:rsidP="00F632B7">
      <w:pPr>
        <w:jc w:val="center"/>
        <w:rPr>
          <w:sz w:val="28"/>
          <w:szCs w:val="28"/>
        </w:rPr>
      </w:pPr>
    </w:p>
    <w:p w:rsidR="00815C57" w:rsidRPr="00815C57" w:rsidRDefault="00F632B7" w:rsidP="00F632B7">
      <w:pPr>
        <w:jc w:val="center"/>
        <w:rPr>
          <w:sz w:val="28"/>
          <w:szCs w:val="28"/>
        </w:rPr>
      </w:pPr>
      <w:r>
        <w:rPr>
          <w:sz w:val="28"/>
          <w:szCs w:val="28"/>
        </w:rPr>
        <w:t>Динаміка кількості юридичних осіб на загальній та спрощеній системі оподаткування та кількість працівників в них</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099"/>
        <w:gridCol w:w="1607"/>
        <w:gridCol w:w="1405"/>
        <w:gridCol w:w="1134"/>
        <w:gridCol w:w="1855"/>
      </w:tblGrid>
      <w:tr w:rsidR="00F632B7" w:rsidRPr="00A85A54" w:rsidTr="005D624D">
        <w:tc>
          <w:tcPr>
            <w:tcW w:w="2263" w:type="dxa"/>
            <w:vMerge w:val="restart"/>
            <w:shd w:val="clear" w:color="auto" w:fill="auto"/>
          </w:tcPr>
          <w:p w:rsidR="00F632B7" w:rsidRPr="00A85A54" w:rsidRDefault="00F632B7" w:rsidP="00C158EA">
            <w:pPr>
              <w:jc w:val="both"/>
              <w:rPr>
                <w:sz w:val="28"/>
                <w:szCs w:val="28"/>
              </w:rPr>
            </w:pPr>
          </w:p>
        </w:tc>
        <w:tc>
          <w:tcPr>
            <w:tcW w:w="2706" w:type="dxa"/>
            <w:gridSpan w:val="2"/>
            <w:shd w:val="clear" w:color="auto" w:fill="auto"/>
            <w:vAlign w:val="center"/>
          </w:tcPr>
          <w:p w:rsidR="00F632B7" w:rsidRPr="00A85A54" w:rsidRDefault="00F632B7" w:rsidP="00C158EA">
            <w:pPr>
              <w:jc w:val="center"/>
              <w:rPr>
                <w:b/>
                <w:sz w:val="22"/>
                <w:szCs w:val="22"/>
              </w:rPr>
            </w:pPr>
            <w:r w:rsidRPr="00A85A54">
              <w:rPr>
                <w:b/>
                <w:sz w:val="22"/>
                <w:szCs w:val="22"/>
              </w:rPr>
              <w:t>Станом на 01.01.201</w:t>
            </w:r>
            <w:r>
              <w:rPr>
                <w:b/>
                <w:sz w:val="22"/>
                <w:szCs w:val="22"/>
              </w:rPr>
              <w:t>8</w:t>
            </w:r>
          </w:p>
        </w:tc>
        <w:tc>
          <w:tcPr>
            <w:tcW w:w="1405" w:type="dxa"/>
            <w:vAlign w:val="center"/>
          </w:tcPr>
          <w:p w:rsidR="00F632B7" w:rsidRPr="00A85A54" w:rsidRDefault="00F632B7" w:rsidP="00F632B7">
            <w:pPr>
              <w:jc w:val="center"/>
              <w:rPr>
                <w:b/>
                <w:sz w:val="22"/>
                <w:szCs w:val="22"/>
              </w:rPr>
            </w:pPr>
            <w:r w:rsidRPr="00A85A54">
              <w:rPr>
                <w:b/>
                <w:sz w:val="22"/>
                <w:szCs w:val="22"/>
              </w:rPr>
              <w:t>Станом на 01.0</w:t>
            </w:r>
            <w:r>
              <w:rPr>
                <w:b/>
                <w:sz w:val="22"/>
                <w:szCs w:val="22"/>
              </w:rPr>
              <w:t>5</w:t>
            </w:r>
            <w:r w:rsidRPr="00A85A54">
              <w:rPr>
                <w:b/>
                <w:sz w:val="22"/>
                <w:szCs w:val="22"/>
              </w:rPr>
              <w:t>.201</w:t>
            </w:r>
            <w:r>
              <w:rPr>
                <w:b/>
                <w:sz w:val="22"/>
                <w:szCs w:val="22"/>
              </w:rPr>
              <w:t>8</w:t>
            </w:r>
          </w:p>
        </w:tc>
        <w:tc>
          <w:tcPr>
            <w:tcW w:w="2989" w:type="dxa"/>
            <w:gridSpan w:val="2"/>
            <w:shd w:val="clear" w:color="auto" w:fill="auto"/>
            <w:vAlign w:val="center"/>
          </w:tcPr>
          <w:p w:rsidR="00F632B7" w:rsidRPr="00A85A54" w:rsidRDefault="00F632B7" w:rsidP="00C158EA">
            <w:pPr>
              <w:jc w:val="center"/>
              <w:rPr>
                <w:b/>
                <w:sz w:val="22"/>
                <w:szCs w:val="22"/>
              </w:rPr>
            </w:pPr>
            <w:r w:rsidRPr="00A85A54">
              <w:rPr>
                <w:b/>
                <w:sz w:val="22"/>
                <w:szCs w:val="22"/>
              </w:rPr>
              <w:t>Станом на 01.</w:t>
            </w:r>
            <w:r>
              <w:rPr>
                <w:b/>
                <w:sz w:val="22"/>
                <w:szCs w:val="22"/>
              </w:rPr>
              <w:t>09</w:t>
            </w:r>
            <w:r w:rsidRPr="00A85A54">
              <w:rPr>
                <w:b/>
                <w:sz w:val="22"/>
                <w:szCs w:val="22"/>
              </w:rPr>
              <w:t>.201</w:t>
            </w:r>
            <w:r>
              <w:rPr>
                <w:b/>
                <w:sz w:val="22"/>
                <w:szCs w:val="22"/>
              </w:rPr>
              <w:t>8</w:t>
            </w:r>
          </w:p>
        </w:tc>
      </w:tr>
      <w:tr w:rsidR="00F632B7" w:rsidRPr="00A85A54" w:rsidTr="005D624D">
        <w:tc>
          <w:tcPr>
            <w:tcW w:w="2263" w:type="dxa"/>
            <w:vMerge/>
            <w:shd w:val="clear" w:color="auto" w:fill="auto"/>
          </w:tcPr>
          <w:p w:rsidR="00F632B7" w:rsidRPr="00A85A54" w:rsidRDefault="00F632B7" w:rsidP="00C158EA">
            <w:pPr>
              <w:jc w:val="both"/>
              <w:rPr>
                <w:sz w:val="28"/>
                <w:szCs w:val="28"/>
              </w:rPr>
            </w:pPr>
          </w:p>
        </w:tc>
        <w:tc>
          <w:tcPr>
            <w:tcW w:w="1099" w:type="dxa"/>
            <w:shd w:val="clear" w:color="auto" w:fill="auto"/>
            <w:vAlign w:val="center"/>
          </w:tcPr>
          <w:p w:rsidR="00F632B7" w:rsidRPr="00A85A54" w:rsidRDefault="00F632B7" w:rsidP="00C158EA">
            <w:pPr>
              <w:jc w:val="center"/>
              <w:rPr>
                <w:b/>
                <w:sz w:val="20"/>
                <w:szCs w:val="20"/>
              </w:rPr>
            </w:pPr>
            <w:r w:rsidRPr="00A85A54">
              <w:rPr>
                <w:b/>
                <w:sz w:val="20"/>
                <w:szCs w:val="20"/>
              </w:rPr>
              <w:t xml:space="preserve">Кількість </w:t>
            </w:r>
            <w:r>
              <w:rPr>
                <w:b/>
                <w:sz w:val="20"/>
                <w:szCs w:val="20"/>
              </w:rPr>
              <w:t>СГД</w:t>
            </w:r>
          </w:p>
        </w:tc>
        <w:tc>
          <w:tcPr>
            <w:tcW w:w="1607" w:type="dxa"/>
            <w:shd w:val="clear" w:color="auto" w:fill="auto"/>
            <w:vAlign w:val="center"/>
          </w:tcPr>
          <w:p w:rsidR="00F632B7" w:rsidRPr="00A85A54" w:rsidRDefault="00F632B7" w:rsidP="00F632B7">
            <w:pPr>
              <w:jc w:val="center"/>
              <w:rPr>
                <w:b/>
                <w:sz w:val="20"/>
                <w:szCs w:val="20"/>
              </w:rPr>
            </w:pPr>
            <w:r>
              <w:rPr>
                <w:b/>
                <w:sz w:val="20"/>
                <w:szCs w:val="20"/>
              </w:rPr>
              <w:t>к-ть найманих працівників</w:t>
            </w:r>
          </w:p>
        </w:tc>
        <w:tc>
          <w:tcPr>
            <w:tcW w:w="1405" w:type="dxa"/>
            <w:vAlign w:val="center"/>
          </w:tcPr>
          <w:p w:rsidR="00F632B7" w:rsidRPr="00A85A54" w:rsidRDefault="00F632B7" w:rsidP="00221E1D">
            <w:pPr>
              <w:jc w:val="center"/>
              <w:rPr>
                <w:b/>
                <w:sz w:val="20"/>
                <w:szCs w:val="20"/>
              </w:rPr>
            </w:pPr>
            <w:r>
              <w:rPr>
                <w:b/>
                <w:sz w:val="20"/>
                <w:szCs w:val="20"/>
              </w:rPr>
              <w:t>к</w:t>
            </w:r>
            <w:r w:rsidR="00221E1D">
              <w:rPr>
                <w:b/>
                <w:sz w:val="20"/>
                <w:szCs w:val="20"/>
              </w:rPr>
              <w:t>-</w:t>
            </w:r>
            <w:r>
              <w:rPr>
                <w:b/>
                <w:sz w:val="20"/>
                <w:szCs w:val="20"/>
              </w:rPr>
              <w:t>ть найманих працівників</w:t>
            </w:r>
          </w:p>
        </w:tc>
        <w:tc>
          <w:tcPr>
            <w:tcW w:w="1134" w:type="dxa"/>
            <w:shd w:val="clear" w:color="auto" w:fill="auto"/>
            <w:vAlign w:val="center"/>
          </w:tcPr>
          <w:p w:rsidR="00F632B7" w:rsidRPr="00A85A54" w:rsidRDefault="00F632B7" w:rsidP="00C158EA">
            <w:pPr>
              <w:jc w:val="center"/>
              <w:rPr>
                <w:b/>
                <w:sz w:val="20"/>
                <w:szCs w:val="20"/>
              </w:rPr>
            </w:pPr>
            <w:r w:rsidRPr="00A85A54">
              <w:rPr>
                <w:b/>
                <w:sz w:val="20"/>
                <w:szCs w:val="20"/>
              </w:rPr>
              <w:t xml:space="preserve">Кількість </w:t>
            </w:r>
            <w:r>
              <w:rPr>
                <w:b/>
                <w:sz w:val="20"/>
                <w:szCs w:val="20"/>
              </w:rPr>
              <w:t>СГД</w:t>
            </w:r>
          </w:p>
        </w:tc>
        <w:tc>
          <w:tcPr>
            <w:tcW w:w="1855" w:type="dxa"/>
            <w:shd w:val="clear" w:color="auto" w:fill="auto"/>
            <w:vAlign w:val="center"/>
          </w:tcPr>
          <w:p w:rsidR="00F632B7" w:rsidRPr="00A85A54" w:rsidRDefault="00F632B7" w:rsidP="00F632B7">
            <w:pPr>
              <w:jc w:val="center"/>
              <w:rPr>
                <w:b/>
                <w:sz w:val="20"/>
                <w:szCs w:val="20"/>
              </w:rPr>
            </w:pPr>
            <w:r>
              <w:rPr>
                <w:b/>
                <w:sz w:val="20"/>
                <w:szCs w:val="20"/>
              </w:rPr>
              <w:t>к-ть найманих працівників</w:t>
            </w:r>
          </w:p>
        </w:tc>
      </w:tr>
      <w:tr w:rsidR="00F632B7" w:rsidRPr="00A85A54" w:rsidTr="00221E1D">
        <w:trPr>
          <w:trHeight w:val="539"/>
        </w:trPr>
        <w:tc>
          <w:tcPr>
            <w:tcW w:w="2263" w:type="dxa"/>
            <w:shd w:val="clear" w:color="auto" w:fill="auto"/>
          </w:tcPr>
          <w:p w:rsidR="00F632B7" w:rsidRPr="00221E1D" w:rsidRDefault="00F632B7" w:rsidP="00221E1D">
            <w:pPr>
              <w:jc w:val="center"/>
            </w:pPr>
            <w:r w:rsidRPr="00221E1D">
              <w:t xml:space="preserve">ЮО на загальній </w:t>
            </w:r>
            <w:r w:rsidR="00221E1D">
              <w:t xml:space="preserve">  </w:t>
            </w:r>
            <w:r w:rsidRPr="00221E1D">
              <w:t>с</w:t>
            </w:r>
            <w:r w:rsidR="00221E1D">
              <w:t xml:space="preserve">-мі </w:t>
            </w:r>
            <w:r w:rsidRPr="00221E1D">
              <w:t>оподаткування</w:t>
            </w:r>
          </w:p>
        </w:tc>
        <w:tc>
          <w:tcPr>
            <w:tcW w:w="1099" w:type="dxa"/>
            <w:shd w:val="clear" w:color="auto" w:fill="auto"/>
            <w:vAlign w:val="center"/>
          </w:tcPr>
          <w:p w:rsidR="00F632B7" w:rsidRPr="00A85A54" w:rsidRDefault="00F632B7" w:rsidP="00C158EA">
            <w:pPr>
              <w:jc w:val="center"/>
              <w:rPr>
                <w:b/>
                <w:sz w:val="28"/>
                <w:szCs w:val="28"/>
              </w:rPr>
            </w:pPr>
            <w:r>
              <w:rPr>
                <w:b/>
                <w:sz w:val="28"/>
                <w:szCs w:val="28"/>
              </w:rPr>
              <w:t>4215</w:t>
            </w:r>
          </w:p>
        </w:tc>
        <w:tc>
          <w:tcPr>
            <w:tcW w:w="1607" w:type="dxa"/>
            <w:shd w:val="clear" w:color="auto" w:fill="auto"/>
            <w:vAlign w:val="center"/>
          </w:tcPr>
          <w:p w:rsidR="00F632B7" w:rsidRPr="00A85A54" w:rsidRDefault="00F632B7" w:rsidP="00221E1D">
            <w:pPr>
              <w:jc w:val="center"/>
              <w:rPr>
                <w:b/>
                <w:sz w:val="28"/>
                <w:szCs w:val="28"/>
              </w:rPr>
            </w:pPr>
            <w:r>
              <w:rPr>
                <w:b/>
                <w:sz w:val="28"/>
                <w:szCs w:val="28"/>
              </w:rPr>
              <w:t>83</w:t>
            </w:r>
            <w:r w:rsidR="00221E1D">
              <w:rPr>
                <w:b/>
                <w:sz w:val="28"/>
                <w:szCs w:val="28"/>
              </w:rPr>
              <w:t xml:space="preserve"> 10</w:t>
            </w:r>
            <w:r>
              <w:rPr>
                <w:b/>
                <w:sz w:val="28"/>
                <w:szCs w:val="28"/>
              </w:rPr>
              <w:t>9 ос.</w:t>
            </w:r>
          </w:p>
        </w:tc>
        <w:tc>
          <w:tcPr>
            <w:tcW w:w="1405" w:type="dxa"/>
            <w:vAlign w:val="center"/>
          </w:tcPr>
          <w:p w:rsidR="00F632B7" w:rsidRDefault="00221E1D" w:rsidP="00C158EA">
            <w:pPr>
              <w:jc w:val="center"/>
              <w:rPr>
                <w:b/>
                <w:sz w:val="28"/>
                <w:szCs w:val="28"/>
              </w:rPr>
            </w:pPr>
            <w:r>
              <w:rPr>
                <w:b/>
                <w:sz w:val="28"/>
                <w:szCs w:val="28"/>
              </w:rPr>
              <w:t>79 910 ос.</w:t>
            </w:r>
          </w:p>
        </w:tc>
        <w:tc>
          <w:tcPr>
            <w:tcW w:w="1134" w:type="dxa"/>
            <w:shd w:val="clear" w:color="auto" w:fill="auto"/>
            <w:vAlign w:val="center"/>
          </w:tcPr>
          <w:p w:rsidR="00F632B7" w:rsidRPr="00A85A54" w:rsidRDefault="00221E1D" w:rsidP="00C158EA">
            <w:pPr>
              <w:jc w:val="center"/>
              <w:rPr>
                <w:b/>
                <w:sz w:val="28"/>
                <w:szCs w:val="28"/>
              </w:rPr>
            </w:pPr>
            <w:r>
              <w:rPr>
                <w:b/>
                <w:sz w:val="28"/>
                <w:szCs w:val="28"/>
              </w:rPr>
              <w:t>4445</w:t>
            </w:r>
          </w:p>
        </w:tc>
        <w:tc>
          <w:tcPr>
            <w:tcW w:w="1855" w:type="dxa"/>
            <w:shd w:val="clear" w:color="auto" w:fill="auto"/>
            <w:vAlign w:val="center"/>
          </w:tcPr>
          <w:p w:rsidR="00F632B7" w:rsidRPr="00A85A54" w:rsidRDefault="00221E1D" w:rsidP="00C158EA">
            <w:pPr>
              <w:jc w:val="center"/>
              <w:rPr>
                <w:b/>
                <w:sz w:val="28"/>
                <w:szCs w:val="28"/>
              </w:rPr>
            </w:pPr>
            <w:r>
              <w:rPr>
                <w:b/>
                <w:sz w:val="28"/>
                <w:szCs w:val="28"/>
              </w:rPr>
              <w:t>80 923 ос.</w:t>
            </w:r>
          </w:p>
        </w:tc>
      </w:tr>
      <w:tr w:rsidR="00F632B7" w:rsidRPr="00A85A54" w:rsidTr="00221E1D">
        <w:tc>
          <w:tcPr>
            <w:tcW w:w="2263" w:type="dxa"/>
            <w:shd w:val="clear" w:color="auto" w:fill="auto"/>
          </w:tcPr>
          <w:p w:rsidR="00F632B7" w:rsidRPr="00221E1D" w:rsidRDefault="00F632B7" w:rsidP="00F632B7">
            <w:pPr>
              <w:jc w:val="center"/>
            </w:pPr>
            <w:r w:rsidRPr="00221E1D">
              <w:t>ЮО на спрощеній с-мі оподаткування</w:t>
            </w:r>
          </w:p>
        </w:tc>
        <w:tc>
          <w:tcPr>
            <w:tcW w:w="1099" w:type="dxa"/>
            <w:shd w:val="clear" w:color="auto" w:fill="auto"/>
            <w:vAlign w:val="center"/>
          </w:tcPr>
          <w:p w:rsidR="00F632B7" w:rsidRPr="00A85A54" w:rsidRDefault="00F632B7" w:rsidP="00C158EA">
            <w:pPr>
              <w:jc w:val="center"/>
              <w:rPr>
                <w:b/>
                <w:sz w:val="28"/>
                <w:szCs w:val="28"/>
              </w:rPr>
            </w:pPr>
            <w:r>
              <w:rPr>
                <w:b/>
                <w:sz w:val="28"/>
                <w:szCs w:val="28"/>
              </w:rPr>
              <w:t>77</w:t>
            </w:r>
          </w:p>
        </w:tc>
        <w:tc>
          <w:tcPr>
            <w:tcW w:w="1607" w:type="dxa"/>
            <w:shd w:val="clear" w:color="auto" w:fill="auto"/>
            <w:vAlign w:val="center"/>
          </w:tcPr>
          <w:p w:rsidR="00F632B7" w:rsidRPr="00A85A54" w:rsidRDefault="00F632B7" w:rsidP="00C158EA">
            <w:pPr>
              <w:jc w:val="center"/>
              <w:rPr>
                <w:b/>
                <w:sz w:val="28"/>
                <w:szCs w:val="28"/>
              </w:rPr>
            </w:pPr>
            <w:r>
              <w:rPr>
                <w:b/>
                <w:sz w:val="28"/>
                <w:szCs w:val="28"/>
              </w:rPr>
              <w:t>435 ос.</w:t>
            </w:r>
          </w:p>
        </w:tc>
        <w:tc>
          <w:tcPr>
            <w:tcW w:w="1405" w:type="dxa"/>
            <w:vAlign w:val="center"/>
          </w:tcPr>
          <w:p w:rsidR="00F632B7" w:rsidRDefault="00221E1D" w:rsidP="00C158EA">
            <w:pPr>
              <w:jc w:val="center"/>
              <w:rPr>
                <w:b/>
                <w:sz w:val="28"/>
                <w:szCs w:val="28"/>
              </w:rPr>
            </w:pPr>
            <w:r>
              <w:rPr>
                <w:b/>
                <w:sz w:val="28"/>
                <w:szCs w:val="28"/>
              </w:rPr>
              <w:t>424 ос.</w:t>
            </w:r>
          </w:p>
        </w:tc>
        <w:tc>
          <w:tcPr>
            <w:tcW w:w="1134" w:type="dxa"/>
            <w:shd w:val="clear" w:color="auto" w:fill="auto"/>
            <w:vAlign w:val="center"/>
          </w:tcPr>
          <w:p w:rsidR="00F632B7" w:rsidRPr="00A85A54" w:rsidRDefault="00221E1D" w:rsidP="00C158EA">
            <w:pPr>
              <w:jc w:val="center"/>
              <w:rPr>
                <w:b/>
                <w:sz w:val="28"/>
                <w:szCs w:val="28"/>
              </w:rPr>
            </w:pPr>
            <w:r>
              <w:rPr>
                <w:b/>
                <w:sz w:val="28"/>
                <w:szCs w:val="28"/>
              </w:rPr>
              <w:t>76</w:t>
            </w:r>
          </w:p>
        </w:tc>
        <w:tc>
          <w:tcPr>
            <w:tcW w:w="1855" w:type="dxa"/>
            <w:shd w:val="clear" w:color="auto" w:fill="auto"/>
            <w:vAlign w:val="center"/>
          </w:tcPr>
          <w:p w:rsidR="00F632B7" w:rsidRPr="00A85A54" w:rsidRDefault="00221E1D" w:rsidP="00C158EA">
            <w:pPr>
              <w:jc w:val="center"/>
              <w:rPr>
                <w:b/>
                <w:sz w:val="28"/>
                <w:szCs w:val="28"/>
              </w:rPr>
            </w:pPr>
            <w:r>
              <w:rPr>
                <w:b/>
                <w:sz w:val="28"/>
                <w:szCs w:val="28"/>
              </w:rPr>
              <w:t>455 ос.</w:t>
            </w:r>
          </w:p>
        </w:tc>
      </w:tr>
      <w:tr w:rsidR="00F632B7" w:rsidRPr="00A85A54" w:rsidTr="00221E1D">
        <w:tc>
          <w:tcPr>
            <w:tcW w:w="2263" w:type="dxa"/>
            <w:shd w:val="clear" w:color="auto" w:fill="auto"/>
          </w:tcPr>
          <w:p w:rsidR="00F632B7" w:rsidRPr="00A85A54" w:rsidRDefault="00F632B7" w:rsidP="00C158EA">
            <w:pPr>
              <w:jc w:val="right"/>
              <w:rPr>
                <w:sz w:val="28"/>
                <w:szCs w:val="28"/>
              </w:rPr>
            </w:pPr>
            <w:r w:rsidRPr="00A85A54">
              <w:rPr>
                <w:sz w:val="28"/>
                <w:szCs w:val="28"/>
              </w:rPr>
              <w:t>Разом</w:t>
            </w:r>
          </w:p>
        </w:tc>
        <w:tc>
          <w:tcPr>
            <w:tcW w:w="1099" w:type="dxa"/>
            <w:shd w:val="clear" w:color="auto" w:fill="auto"/>
            <w:vAlign w:val="center"/>
          </w:tcPr>
          <w:p w:rsidR="00F632B7" w:rsidRPr="00A85A54" w:rsidRDefault="00221E1D" w:rsidP="00C158EA">
            <w:pPr>
              <w:jc w:val="center"/>
              <w:rPr>
                <w:b/>
                <w:sz w:val="28"/>
                <w:szCs w:val="28"/>
              </w:rPr>
            </w:pPr>
            <w:r>
              <w:rPr>
                <w:b/>
                <w:sz w:val="28"/>
                <w:szCs w:val="28"/>
              </w:rPr>
              <w:t>4292</w:t>
            </w:r>
          </w:p>
        </w:tc>
        <w:tc>
          <w:tcPr>
            <w:tcW w:w="1607" w:type="dxa"/>
            <w:shd w:val="clear" w:color="auto" w:fill="auto"/>
            <w:vAlign w:val="center"/>
          </w:tcPr>
          <w:p w:rsidR="00F632B7" w:rsidRPr="00A85A54" w:rsidRDefault="00221E1D" w:rsidP="00C158EA">
            <w:pPr>
              <w:jc w:val="center"/>
              <w:rPr>
                <w:b/>
                <w:sz w:val="28"/>
                <w:szCs w:val="28"/>
              </w:rPr>
            </w:pPr>
            <w:r>
              <w:rPr>
                <w:b/>
                <w:sz w:val="28"/>
                <w:szCs w:val="28"/>
              </w:rPr>
              <w:t>83 544 ос.</w:t>
            </w:r>
          </w:p>
        </w:tc>
        <w:tc>
          <w:tcPr>
            <w:tcW w:w="1405" w:type="dxa"/>
            <w:vAlign w:val="center"/>
          </w:tcPr>
          <w:p w:rsidR="00F632B7" w:rsidRDefault="00221E1D" w:rsidP="00C158EA">
            <w:pPr>
              <w:jc w:val="center"/>
              <w:rPr>
                <w:b/>
                <w:sz w:val="28"/>
                <w:szCs w:val="28"/>
              </w:rPr>
            </w:pPr>
            <w:r>
              <w:rPr>
                <w:b/>
                <w:sz w:val="28"/>
                <w:szCs w:val="28"/>
              </w:rPr>
              <w:t>80 334 ос.</w:t>
            </w:r>
          </w:p>
        </w:tc>
        <w:tc>
          <w:tcPr>
            <w:tcW w:w="1134" w:type="dxa"/>
            <w:shd w:val="clear" w:color="auto" w:fill="auto"/>
            <w:vAlign w:val="center"/>
          </w:tcPr>
          <w:p w:rsidR="00F632B7" w:rsidRPr="00A85A54" w:rsidRDefault="00221E1D" w:rsidP="00C158EA">
            <w:pPr>
              <w:jc w:val="center"/>
              <w:rPr>
                <w:b/>
                <w:sz w:val="28"/>
                <w:szCs w:val="28"/>
              </w:rPr>
            </w:pPr>
            <w:r>
              <w:rPr>
                <w:b/>
                <w:sz w:val="28"/>
                <w:szCs w:val="28"/>
              </w:rPr>
              <w:t>4521</w:t>
            </w:r>
          </w:p>
        </w:tc>
        <w:tc>
          <w:tcPr>
            <w:tcW w:w="1855" w:type="dxa"/>
            <w:shd w:val="clear" w:color="auto" w:fill="auto"/>
            <w:vAlign w:val="center"/>
          </w:tcPr>
          <w:p w:rsidR="00F632B7" w:rsidRPr="00A85A54" w:rsidRDefault="00221E1D" w:rsidP="00C158EA">
            <w:pPr>
              <w:jc w:val="center"/>
              <w:rPr>
                <w:b/>
                <w:sz w:val="28"/>
                <w:szCs w:val="28"/>
              </w:rPr>
            </w:pPr>
            <w:r>
              <w:rPr>
                <w:b/>
                <w:sz w:val="28"/>
                <w:szCs w:val="28"/>
              </w:rPr>
              <w:t>81 378 ос.</w:t>
            </w:r>
          </w:p>
        </w:tc>
      </w:tr>
    </w:tbl>
    <w:p w:rsidR="00C60C71" w:rsidRDefault="00C60C71" w:rsidP="00D84CC7">
      <w:pPr>
        <w:ind w:firstLine="851"/>
        <w:jc w:val="both"/>
        <w:rPr>
          <w:sz w:val="28"/>
          <w:szCs w:val="28"/>
        </w:rPr>
      </w:pPr>
    </w:p>
    <w:p w:rsidR="00221E1D" w:rsidRPr="00221E1D" w:rsidRDefault="00221E1D" w:rsidP="00221E1D">
      <w:pPr>
        <w:ind w:firstLine="851"/>
        <w:jc w:val="both"/>
        <w:rPr>
          <w:sz w:val="28"/>
        </w:rPr>
      </w:pPr>
      <w:r w:rsidRPr="00221E1D">
        <w:rPr>
          <w:sz w:val="28"/>
        </w:rPr>
        <w:t>Управлінням праці з початку року проведено 43 зустрічі  з суб’єктами господарювання, засідан</w:t>
      </w:r>
      <w:r w:rsidR="00A349F4">
        <w:rPr>
          <w:sz w:val="28"/>
        </w:rPr>
        <w:t>ня</w:t>
      </w:r>
      <w:r w:rsidRPr="00221E1D">
        <w:rPr>
          <w:sz w:val="28"/>
        </w:rPr>
        <w:t xml:space="preserve"> “круглих” столів та зустріч</w:t>
      </w:r>
      <w:r w:rsidR="00A349F4">
        <w:rPr>
          <w:sz w:val="28"/>
        </w:rPr>
        <w:t>і</w:t>
      </w:r>
      <w:r w:rsidRPr="00221E1D">
        <w:rPr>
          <w:sz w:val="28"/>
        </w:rPr>
        <w:t xml:space="preserve"> у трудових колективах, під час яких висвітлювались норми діючого законодавства в частині права громадян на працю та обов’язковості оформлення трудових відносин</w:t>
      </w:r>
      <w:r w:rsidR="00A349F4">
        <w:rPr>
          <w:sz w:val="28"/>
        </w:rPr>
        <w:t>.</w:t>
      </w:r>
      <w:r w:rsidR="006E6615">
        <w:rPr>
          <w:sz w:val="28"/>
        </w:rPr>
        <w:t xml:space="preserve"> </w:t>
      </w:r>
      <w:r w:rsidR="00A349F4">
        <w:rPr>
          <w:sz w:val="28"/>
        </w:rPr>
        <w:t xml:space="preserve">У цих </w:t>
      </w:r>
      <w:r w:rsidR="00A349F4">
        <w:rPr>
          <w:sz w:val="28"/>
        </w:rPr>
        <w:lastRenderedPageBreak/>
        <w:t>заходах</w:t>
      </w:r>
      <w:r w:rsidR="006E6615">
        <w:rPr>
          <w:sz w:val="28"/>
        </w:rPr>
        <w:t xml:space="preserve">  взяло участь 873 учасники</w:t>
      </w:r>
      <w:r w:rsidR="00A349F4">
        <w:rPr>
          <w:sz w:val="28"/>
        </w:rPr>
        <w:t>.</w:t>
      </w:r>
      <w:r w:rsidRPr="00221E1D">
        <w:rPr>
          <w:sz w:val="28"/>
        </w:rPr>
        <w:t xml:space="preserve"> </w:t>
      </w:r>
      <w:r w:rsidR="00A349F4">
        <w:rPr>
          <w:sz w:val="28"/>
        </w:rPr>
        <w:t>Н</w:t>
      </w:r>
      <w:r w:rsidRPr="00221E1D">
        <w:rPr>
          <w:sz w:val="28"/>
        </w:rPr>
        <w:t>адруковано 34 статті та інформаційн</w:t>
      </w:r>
      <w:r w:rsidR="006E6615">
        <w:rPr>
          <w:sz w:val="28"/>
        </w:rPr>
        <w:t>их</w:t>
      </w:r>
      <w:r w:rsidRPr="00221E1D">
        <w:rPr>
          <w:sz w:val="28"/>
        </w:rPr>
        <w:t xml:space="preserve"> матеріалів в засобах масової інформації. </w:t>
      </w:r>
    </w:p>
    <w:p w:rsidR="004F7D1E" w:rsidRDefault="00D84CC7" w:rsidP="00D84CC7">
      <w:pPr>
        <w:ind w:firstLine="851"/>
        <w:jc w:val="both"/>
        <w:rPr>
          <w:sz w:val="28"/>
          <w:szCs w:val="28"/>
        </w:rPr>
      </w:pPr>
      <w:r>
        <w:rPr>
          <w:sz w:val="28"/>
          <w:szCs w:val="28"/>
        </w:rPr>
        <w:t xml:space="preserve">За ініціативою </w:t>
      </w:r>
      <w:r w:rsidRPr="00D84CC7">
        <w:rPr>
          <w:sz w:val="28"/>
          <w:szCs w:val="28"/>
        </w:rPr>
        <w:t>управління праці розроблен</w:t>
      </w:r>
      <w:r>
        <w:rPr>
          <w:sz w:val="28"/>
          <w:szCs w:val="28"/>
        </w:rPr>
        <w:t>і</w:t>
      </w:r>
      <w:r w:rsidRPr="00D84CC7">
        <w:rPr>
          <w:sz w:val="28"/>
          <w:szCs w:val="28"/>
        </w:rPr>
        <w:t xml:space="preserve"> інформаційні листівки, які спрямовані на упередження виплати заробітної плати в “конвертах”, </w:t>
      </w:r>
      <w:r w:rsidR="00A349F4">
        <w:rPr>
          <w:sz w:val="28"/>
          <w:szCs w:val="28"/>
        </w:rPr>
        <w:t xml:space="preserve">інформують про </w:t>
      </w:r>
      <w:r w:rsidRPr="00D84CC7">
        <w:rPr>
          <w:sz w:val="28"/>
          <w:szCs w:val="28"/>
        </w:rPr>
        <w:t>негативн</w:t>
      </w:r>
      <w:r w:rsidR="00A349F4">
        <w:rPr>
          <w:sz w:val="28"/>
          <w:szCs w:val="28"/>
        </w:rPr>
        <w:t>і</w:t>
      </w:r>
      <w:r w:rsidRPr="00D84CC7">
        <w:rPr>
          <w:sz w:val="28"/>
          <w:szCs w:val="28"/>
        </w:rPr>
        <w:t xml:space="preserve"> наслідк</w:t>
      </w:r>
      <w:r w:rsidR="00A349F4">
        <w:rPr>
          <w:sz w:val="28"/>
          <w:szCs w:val="28"/>
        </w:rPr>
        <w:t>и</w:t>
      </w:r>
      <w:r w:rsidRPr="00D84CC7">
        <w:rPr>
          <w:sz w:val="28"/>
          <w:szCs w:val="28"/>
        </w:rPr>
        <w:t xml:space="preserve"> “тіньової” оплати праці</w:t>
      </w:r>
      <w:r w:rsidR="00A349F4">
        <w:rPr>
          <w:sz w:val="28"/>
          <w:szCs w:val="28"/>
        </w:rPr>
        <w:t xml:space="preserve"> та</w:t>
      </w:r>
      <w:r>
        <w:rPr>
          <w:sz w:val="28"/>
          <w:szCs w:val="28"/>
        </w:rPr>
        <w:t xml:space="preserve"> про преваги офіційного </w:t>
      </w:r>
      <w:r w:rsidRPr="00D84CC7">
        <w:rPr>
          <w:sz w:val="28"/>
          <w:szCs w:val="28"/>
        </w:rPr>
        <w:t xml:space="preserve"> </w:t>
      </w:r>
      <w:r>
        <w:rPr>
          <w:sz w:val="28"/>
          <w:szCs w:val="28"/>
        </w:rPr>
        <w:t>працевлаштування</w:t>
      </w:r>
      <w:r w:rsidRPr="00D84CC7">
        <w:rPr>
          <w:sz w:val="28"/>
          <w:szCs w:val="28"/>
        </w:rPr>
        <w:t xml:space="preserve">. Такі листівки </w:t>
      </w:r>
      <w:r>
        <w:rPr>
          <w:sz w:val="28"/>
          <w:szCs w:val="28"/>
        </w:rPr>
        <w:t xml:space="preserve">постійно </w:t>
      </w:r>
      <w:r w:rsidRPr="00D84CC7">
        <w:rPr>
          <w:sz w:val="28"/>
          <w:szCs w:val="28"/>
        </w:rPr>
        <w:t>розповсюджуються серед суб’єктів господарювання рейдовою робочою групою та на засіданнях міської комісії з легалізації заробітної плати та зайнятості населення.</w:t>
      </w:r>
    </w:p>
    <w:p w:rsidR="004F7D1E" w:rsidRPr="004F7D1E" w:rsidRDefault="00D84CC7" w:rsidP="004F7D1E">
      <w:pPr>
        <w:ind w:firstLine="851"/>
        <w:jc w:val="both"/>
        <w:rPr>
          <w:sz w:val="28"/>
          <w:szCs w:val="28"/>
        </w:rPr>
      </w:pPr>
      <w:r w:rsidRPr="00D84CC7">
        <w:rPr>
          <w:sz w:val="28"/>
          <w:szCs w:val="28"/>
        </w:rPr>
        <w:t xml:space="preserve"> </w:t>
      </w:r>
      <w:r w:rsidR="004F7D1E" w:rsidRPr="004F7D1E">
        <w:rPr>
          <w:sz w:val="28"/>
          <w:szCs w:val="28"/>
        </w:rPr>
        <w:t>Також розроблений інформаційний ролик (соціальна реклама) з аналогічною інформацією, який транслювався місцевими телерадіокомпаніями та “вуличним радіо” м. Івано-Франківська.</w:t>
      </w:r>
    </w:p>
    <w:p w:rsidR="00D84CC7" w:rsidRDefault="004F7D1E" w:rsidP="00D84CC7">
      <w:pPr>
        <w:ind w:firstLine="851"/>
        <w:jc w:val="both"/>
        <w:rPr>
          <w:sz w:val="28"/>
          <w:szCs w:val="28"/>
          <w:lang w:eastAsia="uk-UA"/>
        </w:rPr>
      </w:pPr>
      <w:r>
        <w:rPr>
          <w:sz w:val="28"/>
          <w:szCs w:val="28"/>
          <w:lang w:eastAsia="uk-UA"/>
        </w:rPr>
        <w:t>У</w:t>
      </w:r>
      <w:r w:rsidR="00D84CC7" w:rsidRPr="00D84CC7">
        <w:rPr>
          <w:sz w:val="28"/>
          <w:szCs w:val="28"/>
          <w:lang w:eastAsia="uk-UA"/>
        </w:rPr>
        <w:t xml:space="preserve"> 2018 році виготовлено 3 </w:t>
      </w:r>
      <w:proofErr w:type="spellStart"/>
      <w:r w:rsidR="00D84CC7" w:rsidRPr="00D84CC7">
        <w:rPr>
          <w:sz w:val="28"/>
          <w:szCs w:val="28"/>
          <w:lang w:eastAsia="uk-UA"/>
        </w:rPr>
        <w:t>білборди</w:t>
      </w:r>
      <w:proofErr w:type="spellEnd"/>
      <w:r w:rsidR="00D84CC7" w:rsidRPr="00D84CC7">
        <w:rPr>
          <w:sz w:val="28"/>
          <w:szCs w:val="28"/>
          <w:lang w:eastAsia="uk-UA"/>
        </w:rPr>
        <w:t xml:space="preserve"> </w:t>
      </w:r>
      <w:r w:rsidR="00D84CC7">
        <w:rPr>
          <w:sz w:val="28"/>
          <w:szCs w:val="28"/>
          <w:lang w:eastAsia="uk-UA"/>
        </w:rPr>
        <w:t>та</w:t>
      </w:r>
      <w:r w:rsidR="00D84CC7" w:rsidRPr="00D84CC7">
        <w:rPr>
          <w:sz w:val="28"/>
          <w:szCs w:val="28"/>
          <w:lang w:eastAsia="uk-UA"/>
        </w:rPr>
        <w:t xml:space="preserve"> 4 </w:t>
      </w:r>
      <w:proofErr w:type="spellStart"/>
      <w:r w:rsidR="00D84CC7" w:rsidRPr="00D84CC7">
        <w:rPr>
          <w:sz w:val="28"/>
          <w:szCs w:val="28"/>
          <w:lang w:eastAsia="uk-UA"/>
        </w:rPr>
        <w:t>сітілайти</w:t>
      </w:r>
      <w:proofErr w:type="spellEnd"/>
      <w:r w:rsidR="00D84CC7" w:rsidRPr="00D84CC7">
        <w:rPr>
          <w:sz w:val="28"/>
          <w:szCs w:val="28"/>
          <w:lang w:eastAsia="uk-UA"/>
        </w:rPr>
        <w:t xml:space="preserve"> із соціальною рекламою “Скажи “ні!” зарплаті в “конверті”, які розміщ</w:t>
      </w:r>
      <w:r>
        <w:rPr>
          <w:sz w:val="28"/>
          <w:szCs w:val="28"/>
          <w:lang w:eastAsia="uk-UA"/>
        </w:rPr>
        <w:t>увались</w:t>
      </w:r>
      <w:r w:rsidR="00D84CC7" w:rsidRPr="00D84CC7">
        <w:rPr>
          <w:sz w:val="28"/>
          <w:szCs w:val="28"/>
          <w:lang w:eastAsia="uk-UA"/>
        </w:rPr>
        <w:t xml:space="preserve"> у різних частинах міста.</w:t>
      </w:r>
    </w:p>
    <w:p w:rsidR="004F7D1E" w:rsidRPr="004F7D1E" w:rsidRDefault="00547CEC" w:rsidP="004F7D1E">
      <w:pPr>
        <w:ind w:firstLine="851"/>
        <w:jc w:val="both"/>
        <w:rPr>
          <w:sz w:val="28"/>
          <w:szCs w:val="28"/>
        </w:rPr>
      </w:pPr>
      <w:r w:rsidRPr="00547CEC">
        <w:rPr>
          <w:sz w:val="28"/>
          <w:szCs w:val="28"/>
        </w:rPr>
        <w:t xml:space="preserve">Управлінням постійно проводиться робота щодо сприяння у пошуку робітничих кадрів для підприємств основного кола, а також підприємств житлово-комунальної галузі міста. </w:t>
      </w:r>
      <w:r w:rsidR="004F7D1E" w:rsidRPr="004F7D1E">
        <w:rPr>
          <w:sz w:val="28"/>
          <w:szCs w:val="28"/>
        </w:rPr>
        <w:t>Систематично здійснюється аналіз кількості найманих працівників та розміру середньомісячної заробітної плати в суб’єктів господарювання, які здійснюють пасажирські перевезення в місті.</w:t>
      </w:r>
    </w:p>
    <w:p w:rsidR="004B0BCF" w:rsidRDefault="00297739" w:rsidP="004B0BCF">
      <w:pPr>
        <w:ind w:firstLine="851"/>
        <w:jc w:val="both"/>
        <w:rPr>
          <w:sz w:val="28"/>
          <w:szCs w:val="28"/>
        </w:rPr>
      </w:pPr>
      <w:r>
        <w:rPr>
          <w:sz w:val="28"/>
          <w:szCs w:val="28"/>
        </w:rPr>
        <w:t>На виконання Програми легалізації найманої праці та забезпечення кваліфікованими кадрами підприємств міста Івано-Франківська на 2017-2020 роки з метою</w:t>
      </w:r>
      <w:r w:rsidR="00547CEC" w:rsidRPr="00547CEC">
        <w:rPr>
          <w:sz w:val="28"/>
          <w:szCs w:val="28"/>
        </w:rPr>
        <w:t xml:space="preserve"> створення сприятливих умов щодо залучення молодих, кваліфікованих спеціалістів робітничих спеціальностей для роботи на підприємствах міста та з метою налагодження співпраці між професійно-технічними закладами освіти та підприємствами міста продовжує свою роботу міська Дорадча рада керівників промислових підприємств та керівників закладів професійної технічної освіти. Впродовж </w:t>
      </w:r>
      <w:r>
        <w:rPr>
          <w:sz w:val="28"/>
          <w:szCs w:val="28"/>
        </w:rPr>
        <w:t>201</w:t>
      </w:r>
      <w:r w:rsidR="004B0BCF">
        <w:rPr>
          <w:sz w:val="28"/>
          <w:szCs w:val="28"/>
        </w:rPr>
        <w:t>8</w:t>
      </w:r>
      <w:r>
        <w:rPr>
          <w:sz w:val="28"/>
          <w:szCs w:val="28"/>
        </w:rPr>
        <w:t xml:space="preserve"> </w:t>
      </w:r>
      <w:r w:rsidR="004B0BCF">
        <w:rPr>
          <w:sz w:val="28"/>
          <w:szCs w:val="28"/>
        </w:rPr>
        <w:t>року проведено 3</w:t>
      </w:r>
      <w:r w:rsidR="00547CEC" w:rsidRPr="00547CEC">
        <w:rPr>
          <w:sz w:val="28"/>
          <w:szCs w:val="28"/>
        </w:rPr>
        <w:t xml:space="preserve"> засідання Дорадчої ради.</w:t>
      </w:r>
    </w:p>
    <w:p w:rsidR="00E86CE4" w:rsidRDefault="00BB34E9" w:rsidP="00E86CE4">
      <w:pPr>
        <w:ind w:firstLine="851"/>
        <w:jc w:val="both"/>
        <w:rPr>
          <w:sz w:val="28"/>
          <w:szCs w:val="28"/>
        </w:rPr>
      </w:pPr>
      <w:r>
        <w:rPr>
          <w:sz w:val="28"/>
          <w:szCs w:val="28"/>
        </w:rPr>
        <w:t xml:space="preserve">На засідання Дорадчої ради запрошувались керівники промислових та комунальних підприємств, </w:t>
      </w:r>
      <w:r w:rsidR="00791144">
        <w:rPr>
          <w:sz w:val="28"/>
          <w:szCs w:val="28"/>
        </w:rPr>
        <w:t xml:space="preserve">професійно-технічних навчальних закладів, </w:t>
      </w:r>
      <w:r>
        <w:rPr>
          <w:sz w:val="28"/>
          <w:szCs w:val="28"/>
        </w:rPr>
        <w:t xml:space="preserve">керівники </w:t>
      </w:r>
      <w:r w:rsidR="007A6FB3">
        <w:rPr>
          <w:sz w:val="28"/>
          <w:szCs w:val="28"/>
        </w:rPr>
        <w:t xml:space="preserve">управління професійно-технічної, вищої освіти та молодіжної політики облдержадміністрації, </w:t>
      </w:r>
      <w:r>
        <w:rPr>
          <w:sz w:val="28"/>
          <w:szCs w:val="28"/>
        </w:rPr>
        <w:t>департамен</w:t>
      </w:r>
      <w:r w:rsidR="007A6FB3">
        <w:rPr>
          <w:sz w:val="28"/>
          <w:szCs w:val="28"/>
        </w:rPr>
        <w:t>ту</w:t>
      </w:r>
      <w:r>
        <w:rPr>
          <w:sz w:val="28"/>
          <w:szCs w:val="28"/>
        </w:rPr>
        <w:t xml:space="preserve"> освіти та науки місь</w:t>
      </w:r>
      <w:r w:rsidR="00791144">
        <w:rPr>
          <w:sz w:val="28"/>
          <w:szCs w:val="28"/>
        </w:rPr>
        <w:t xml:space="preserve">кої ради, депутати міської ради та ін. Обговорювались питання співпраці закладів </w:t>
      </w:r>
      <w:proofErr w:type="spellStart"/>
      <w:r w:rsidR="00791144">
        <w:rPr>
          <w:sz w:val="28"/>
          <w:szCs w:val="28"/>
        </w:rPr>
        <w:t>профтехосвіти</w:t>
      </w:r>
      <w:proofErr w:type="spellEnd"/>
      <w:r w:rsidR="00791144">
        <w:rPr>
          <w:sz w:val="28"/>
          <w:szCs w:val="28"/>
        </w:rPr>
        <w:t xml:space="preserve"> з установами, організаціями та підприємствами міста щодо забезпечення проходження учнями практики відповідно до дуальної системи навчання,  </w:t>
      </w:r>
      <w:r w:rsidR="00E86CE4" w:rsidRPr="00E86CE4">
        <w:rPr>
          <w:sz w:val="28"/>
          <w:szCs w:val="28"/>
        </w:rPr>
        <w:t>вирішення проблеми щодо створення умов для проживання або довезення випускників ПТНЗ, які влаштовуються працювати на підприємства міста, укладення договорів на надання освітніх послуг у сфері професійно-технічної освіти та інші.</w:t>
      </w:r>
    </w:p>
    <w:p w:rsidR="00D4138F" w:rsidRPr="00E86CE4" w:rsidRDefault="00D4138F" w:rsidP="00E86CE4">
      <w:pPr>
        <w:ind w:firstLine="851"/>
        <w:jc w:val="both"/>
        <w:rPr>
          <w:sz w:val="28"/>
          <w:szCs w:val="28"/>
        </w:rPr>
      </w:pPr>
      <w:r>
        <w:rPr>
          <w:sz w:val="28"/>
          <w:szCs w:val="28"/>
        </w:rPr>
        <w:t xml:space="preserve">Управлінням праці підготовлені та передані в Управління професійно-технічної, вищої освіти та молодіжної політики Івано-Франківської облдержадміністрації пропозиції щодо формування регіонального замовлення на підготовку робітничих кадрів. </w:t>
      </w:r>
    </w:p>
    <w:p w:rsidR="004B0BCF" w:rsidRDefault="004B0BCF" w:rsidP="004B0BCF">
      <w:pPr>
        <w:ind w:firstLine="851"/>
        <w:jc w:val="both"/>
        <w:rPr>
          <w:sz w:val="28"/>
          <w:szCs w:val="28"/>
        </w:rPr>
      </w:pPr>
      <w:r w:rsidRPr="004B0BCF">
        <w:rPr>
          <w:sz w:val="28"/>
          <w:szCs w:val="28"/>
        </w:rPr>
        <w:t>З початку року з ініціативи управління праці були організовані робочі зустрічі міського голови з керівниками</w:t>
      </w:r>
      <w:r w:rsidR="00AD218B">
        <w:rPr>
          <w:sz w:val="28"/>
          <w:szCs w:val="28"/>
        </w:rPr>
        <w:t xml:space="preserve"> та педагогічними колективами</w:t>
      </w:r>
      <w:r w:rsidRPr="004B0BCF">
        <w:rPr>
          <w:sz w:val="28"/>
          <w:szCs w:val="28"/>
        </w:rPr>
        <w:t xml:space="preserve"> професійно-технічних навчальних закладів міста</w:t>
      </w:r>
      <w:r>
        <w:rPr>
          <w:sz w:val="28"/>
          <w:szCs w:val="28"/>
        </w:rPr>
        <w:t xml:space="preserve"> </w:t>
      </w:r>
      <w:r w:rsidRPr="004B0BCF">
        <w:rPr>
          <w:sz w:val="28"/>
          <w:szCs w:val="28"/>
        </w:rPr>
        <w:t xml:space="preserve">на базі цих закладів, а саме: </w:t>
      </w:r>
      <w:r w:rsidRPr="004B0BCF">
        <w:rPr>
          <w:sz w:val="28"/>
          <w:szCs w:val="28"/>
        </w:rPr>
        <w:lastRenderedPageBreak/>
        <w:t xml:space="preserve">ЦПТО №1, Івано-Франківського політехнічного ліцею, професійного ліцею автомобільного транспорту і будівництва, будівельного ліцею, </w:t>
      </w:r>
      <w:r>
        <w:rPr>
          <w:sz w:val="28"/>
          <w:szCs w:val="28"/>
        </w:rPr>
        <w:t>ВПУ</w:t>
      </w:r>
      <w:r w:rsidRPr="004B0BCF">
        <w:rPr>
          <w:sz w:val="28"/>
          <w:szCs w:val="28"/>
        </w:rPr>
        <w:t xml:space="preserve"> № 21, вищого художнього професійного училища № 3, коледжу ресторанного сервісу і туризму</w:t>
      </w:r>
      <w:r>
        <w:rPr>
          <w:sz w:val="28"/>
          <w:szCs w:val="28"/>
        </w:rPr>
        <w:t>,</w:t>
      </w:r>
      <w:r w:rsidRPr="004B0BCF">
        <w:rPr>
          <w:sz w:val="28"/>
          <w:szCs w:val="28"/>
        </w:rPr>
        <w:t xml:space="preserve"> професійного політехнічного ліцею</w:t>
      </w:r>
      <w:r>
        <w:rPr>
          <w:sz w:val="28"/>
          <w:szCs w:val="28"/>
        </w:rPr>
        <w:t xml:space="preserve">, </w:t>
      </w:r>
      <w:r w:rsidRPr="004B0BCF">
        <w:rPr>
          <w:sz w:val="28"/>
          <w:szCs w:val="28"/>
        </w:rPr>
        <w:t>ВПУ СОТ та ВПУ № 13. На зустрічі запрошувались керівники підприємств, які відчувають потребу в робітничих кадрах, керівники структурних підрозділів Івано-Франківської ОДА та міської ради, депутати міської ради та ін.</w:t>
      </w:r>
    </w:p>
    <w:p w:rsidR="001A2503" w:rsidRDefault="00AD218B" w:rsidP="001A2503">
      <w:pPr>
        <w:ind w:firstLine="851"/>
        <w:jc w:val="both"/>
        <w:rPr>
          <w:sz w:val="28"/>
          <w:szCs w:val="28"/>
        </w:rPr>
      </w:pPr>
      <w:r>
        <w:rPr>
          <w:sz w:val="28"/>
          <w:szCs w:val="28"/>
        </w:rPr>
        <w:t>З метою популяризації робітничих професій,</w:t>
      </w:r>
      <w:r w:rsidRPr="00AD218B">
        <w:rPr>
          <w:sz w:val="28"/>
          <w:szCs w:val="28"/>
        </w:rPr>
        <w:t xml:space="preserve"> на виконання </w:t>
      </w:r>
      <w:r>
        <w:rPr>
          <w:sz w:val="28"/>
          <w:szCs w:val="28"/>
        </w:rPr>
        <w:t xml:space="preserve">вищезазначеної </w:t>
      </w:r>
      <w:r w:rsidRPr="00AD218B">
        <w:rPr>
          <w:sz w:val="28"/>
          <w:szCs w:val="28"/>
        </w:rPr>
        <w:t>Програми управління</w:t>
      </w:r>
      <w:r w:rsidR="001A2503">
        <w:rPr>
          <w:sz w:val="28"/>
          <w:szCs w:val="28"/>
        </w:rPr>
        <w:t xml:space="preserve"> праці </w:t>
      </w:r>
      <w:r w:rsidRPr="00AD218B">
        <w:rPr>
          <w:sz w:val="28"/>
          <w:szCs w:val="28"/>
        </w:rPr>
        <w:t>організовано проведення міських конкурсів з визначення кращого за професією серед учнів закладів професійно-технічної освіти</w:t>
      </w:r>
      <w:r w:rsidR="001A2503">
        <w:rPr>
          <w:sz w:val="28"/>
          <w:szCs w:val="28"/>
        </w:rPr>
        <w:t xml:space="preserve">. У минулому році проводились конкурси з визначення кращого токаря, кращого кравця та кращого коваля. До речі, фінальний етап конкурсу з визначення кращого коваля відбувався на </w:t>
      </w:r>
      <w:r w:rsidR="006E6615">
        <w:rPr>
          <w:sz w:val="28"/>
          <w:szCs w:val="28"/>
        </w:rPr>
        <w:t>Святі</w:t>
      </w:r>
      <w:r w:rsidR="001A2503">
        <w:rPr>
          <w:sz w:val="28"/>
          <w:szCs w:val="28"/>
        </w:rPr>
        <w:t xml:space="preserve"> ковалів в рамках відзначення Дня міста. </w:t>
      </w:r>
    </w:p>
    <w:p w:rsidR="004F7D1E" w:rsidRDefault="004F7D1E" w:rsidP="001A2503">
      <w:pPr>
        <w:ind w:firstLine="851"/>
        <w:jc w:val="both"/>
        <w:rPr>
          <w:sz w:val="28"/>
          <w:szCs w:val="28"/>
        </w:rPr>
      </w:pPr>
      <w:r>
        <w:rPr>
          <w:sz w:val="28"/>
          <w:szCs w:val="28"/>
        </w:rPr>
        <w:t>У 2018 році проведені такі конкурси:</w:t>
      </w:r>
    </w:p>
    <w:p w:rsidR="00AD218B" w:rsidRPr="00AD218B" w:rsidRDefault="00AD218B" w:rsidP="00AD218B">
      <w:pPr>
        <w:widowControl w:val="0"/>
        <w:ind w:firstLine="851"/>
        <w:jc w:val="both"/>
        <w:rPr>
          <w:sz w:val="28"/>
          <w:szCs w:val="28"/>
        </w:rPr>
      </w:pPr>
      <w:r w:rsidRPr="00AD218B">
        <w:rPr>
          <w:sz w:val="28"/>
          <w:szCs w:val="28"/>
        </w:rPr>
        <w:t>- 20.04.2018 р. – конкурс з визначення кращого монтажника санітарно-технічних систем і устаткування;</w:t>
      </w:r>
    </w:p>
    <w:p w:rsidR="00AD218B" w:rsidRPr="00AD218B" w:rsidRDefault="00AD218B" w:rsidP="00AD218B">
      <w:pPr>
        <w:widowControl w:val="0"/>
        <w:ind w:firstLine="851"/>
        <w:jc w:val="both"/>
        <w:rPr>
          <w:sz w:val="28"/>
          <w:szCs w:val="28"/>
        </w:rPr>
      </w:pPr>
      <w:r w:rsidRPr="00AD218B">
        <w:rPr>
          <w:sz w:val="28"/>
          <w:szCs w:val="28"/>
        </w:rPr>
        <w:t>- 23.04.2018 р. – конкурс з визначення кращого слюсаря з ремонту автомобілів;</w:t>
      </w:r>
    </w:p>
    <w:p w:rsidR="00AD218B" w:rsidRPr="00AD218B" w:rsidRDefault="00AD218B" w:rsidP="00AD218B">
      <w:pPr>
        <w:widowControl w:val="0"/>
        <w:ind w:firstLine="851"/>
        <w:jc w:val="both"/>
        <w:rPr>
          <w:sz w:val="28"/>
          <w:szCs w:val="28"/>
        </w:rPr>
      </w:pPr>
      <w:r w:rsidRPr="00AD218B">
        <w:rPr>
          <w:sz w:val="28"/>
          <w:szCs w:val="28"/>
        </w:rPr>
        <w:t>- 24.04.2018 р. – конкурс з визначення кращого кондитера;</w:t>
      </w:r>
    </w:p>
    <w:p w:rsidR="00AD218B" w:rsidRPr="00AD218B" w:rsidRDefault="00AD218B" w:rsidP="00AD218B">
      <w:pPr>
        <w:widowControl w:val="0"/>
        <w:ind w:firstLine="851"/>
        <w:jc w:val="both"/>
        <w:rPr>
          <w:sz w:val="28"/>
          <w:szCs w:val="28"/>
        </w:rPr>
      </w:pPr>
      <w:r w:rsidRPr="00AD218B">
        <w:rPr>
          <w:sz w:val="28"/>
          <w:szCs w:val="28"/>
        </w:rPr>
        <w:t xml:space="preserve">- 29.05.2018 р. – конкурс з визначення кращого електромонтера з ремонту та обслуговування електроустаткування. </w:t>
      </w:r>
    </w:p>
    <w:p w:rsidR="00AD218B" w:rsidRPr="00AD218B" w:rsidRDefault="00AD218B" w:rsidP="00AD218B">
      <w:pPr>
        <w:widowControl w:val="0"/>
        <w:ind w:firstLine="851"/>
        <w:jc w:val="both"/>
        <w:rPr>
          <w:sz w:val="28"/>
          <w:szCs w:val="28"/>
        </w:rPr>
      </w:pPr>
      <w:r w:rsidRPr="00AD218B">
        <w:rPr>
          <w:sz w:val="28"/>
          <w:szCs w:val="28"/>
        </w:rPr>
        <w:t>Всі учасники та призери конкурсів нагороджені дипломами та цінними подарунками.</w:t>
      </w:r>
    </w:p>
    <w:p w:rsidR="00AD218B" w:rsidRDefault="00AD218B" w:rsidP="00AD218B">
      <w:pPr>
        <w:ind w:firstLine="851"/>
        <w:jc w:val="both"/>
        <w:rPr>
          <w:sz w:val="28"/>
        </w:rPr>
      </w:pPr>
      <w:r w:rsidRPr="00AD218B">
        <w:rPr>
          <w:sz w:val="28"/>
        </w:rPr>
        <w:t>Також з ініціативи управління праці виготовлен</w:t>
      </w:r>
      <w:r w:rsidR="00E86CE4">
        <w:rPr>
          <w:sz w:val="28"/>
        </w:rPr>
        <w:t xml:space="preserve">о фільм про відкриті вакансії на комунальних підприємствах міста </w:t>
      </w:r>
      <w:r w:rsidR="00E86CE4" w:rsidRPr="00E86CE4">
        <w:rPr>
          <w:sz w:val="28"/>
        </w:rPr>
        <w:t>“</w:t>
      </w:r>
      <w:r w:rsidR="00E86CE4">
        <w:rPr>
          <w:sz w:val="28"/>
        </w:rPr>
        <w:t>Кадровий потенціал Івано-Франківська</w:t>
      </w:r>
      <w:r w:rsidR="00E86CE4" w:rsidRPr="00E86CE4">
        <w:rPr>
          <w:sz w:val="28"/>
        </w:rPr>
        <w:t>”</w:t>
      </w:r>
      <w:r w:rsidR="00E86CE4">
        <w:rPr>
          <w:sz w:val="28"/>
        </w:rPr>
        <w:t xml:space="preserve"> та</w:t>
      </w:r>
      <w:r w:rsidRPr="00AD218B">
        <w:rPr>
          <w:sz w:val="28"/>
        </w:rPr>
        <w:t xml:space="preserve"> інформаційний фільм “ВПУ запрошують на навчання”, який розповідає про всі заклади міста, де готують спеціалістів робітничих спеціальностей. </w:t>
      </w:r>
      <w:r w:rsidR="00E86CE4">
        <w:rPr>
          <w:sz w:val="28"/>
        </w:rPr>
        <w:t xml:space="preserve">Зазначені </w:t>
      </w:r>
      <w:r w:rsidR="001A2503">
        <w:rPr>
          <w:sz w:val="28"/>
        </w:rPr>
        <w:t>ф</w:t>
      </w:r>
      <w:r w:rsidRPr="00AD218B">
        <w:rPr>
          <w:sz w:val="28"/>
        </w:rPr>
        <w:t>ільм</w:t>
      </w:r>
      <w:r w:rsidR="001A2503">
        <w:rPr>
          <w:sz w:val="28"/>
        </w:rPr>
        <w:t xml:space="preserve">и транслювались </w:t>
      </w:r>
      <w:r w:rsidR="001A2503" w:rsidRPr="00AD218B">
        <w:rPr>
          <w:sz w:val="28"/>
        </w:rPr>
        <w:t>на ТРК “Вежа” та розміщен</w:t>
      </w:r>
      <w:r w:rsidR="001A2503">
        <w:rPr>
          <w:sz w:val="28"/>
        </w:rPr>
        <w:t>і</w:t>
      </w:r>
      <w:r w:rsidR="001A2503" w:rsidRPr="00AD218B">
        <w:rPr>
          <w:sz w:val="28"/>
        </w:rPr>
        <w:t xml:space="preserve"> на офіційній сторінці міста</w:t>
      </w:r>
      <w:r w:rsidR="001A2503">
        <w:rPr>
          <w:sz w:val="28"/>
        </w:rPr>
        <w:t xml:space="preserve"> та сторінці управління праці у </w:t>
      </w:r>
      <w:proofErr w:type="spellStart"/>
      <w:r w:rsidR="001A2503">
        <w:rPr>
          <w:sz w:val="28"/>
          <w:lang w:val="en-US"/>
        </w:rPr>
        <w:t>Faceb</w:t>
      </w:r>
      <w:proofErr w:type="spellEnd"/>
      <w:r w:rsidR="001A2503" w:rsidRPr="00E8260F">
        <w:rPr>
          <w:sz w:val="28"/>
        </w:rPr>
        <w:t>о</w:t>
      </w:r>
      <w:r w:rsidR="001A2503">
        <w:rPr>
          <w:sz w:val="28"/>
          <w:lang w:val="en-US"/>
        </w:rPr>
        <w:t>ok</w:t>
      </w:r>
      <w:r w:rsidR="001A2503" w:rsidRPr="00AD218B">
        <w:rPr>
          <w:sz w:val="28"/>
        </w:rPr>
        <w:t>.</w:t>
      </w:r>
      <w:r w:rsidR="00E86CE4">
        <w:rPr>
          <w:sz w:val="28"/>
        </w:rPr>
        <w:t xml:space="preserve"> </w:t>
      </w:r>
      <w:r w:rsidR="001A2503">
        <w:rPr>
          <w:sz w:val="28"/>
        </w:rPr>
        <w:t xml:space="preserve">Фільм </w:t>
      </w:r>
      <w:r w:rsidR="00E86CE4">
        <w:rPr>
          <w:sz w:val="28"/>
        </w:rPr>
        <w:t>про ВПУ</w:t>
      </w:r>
      <w:r w:rsidRPr="00AD218B">
        <w:rPr>
          <w:sz w:val="28"/>
        </w:rPr>
        <w:t xml:space="preserve"> переданий у департамент освіти та науки міської ради для демонстрації учням 9-11 класів</w:t>
      </w:r>
      <w:r w:rsidR="001A2503">
        <w:rPr>
          <w:sz w:val="28"/>
        </w:rPr>
        <w:t xml:space="preserve">. </w:t>
      </w:r>
    </w:p>
    <w:p w:rsidR="001A2503" w:rsidRPr="001A2503" w:rsidRDefault="001A2503" w:rsidP="001A2503">
      <w:pPr>
        <w:ind w:firstLine="851"/>
        <w:jc w:val="both"/>
        <w:rPr>
          <w:sz w:val="28"/>
          <w:szCs w:val="28"/>
        </w:rPr>
      </w:pPr>
      <w:r>
        <w:rPr>
          <w:sz w:val="28"/>
          <w:szCs w:val="28"/>
        </w:rPr>
        <w:t>Крім того, у</w:t>
      </w:r>
      <w:r w:rsidRPr="001A2503">
        <w:rPr>
          <w:sz w:val="28"/>
          <w:szCs w:val="28"/>
        </w:rPr>
        <w:t xml:space="preserve">правлінням розроблені інформаційні листівки “Робітничі професії – стабільна економіка міста”. У них зазначений перелік спеціалістів, яких готують професійно-технічні навчальні заклади міста та перелік потенційних роботодавців міста, які потребують робітничих кадрів. </w:t>
      </w:r>
    </w:p>
    <w:p w:rsidR="00E8260F" w:rsidRDefault="00AD218B" w:rsidP="001A2503">
      <w:pPr>
        <w:ind w:firstLine="851"/>
        <w:jc w:val="both"/>
        <w:rPr>
          <w:sz w:val="28"/>
          <w:szCs w:val="28"/>
        </w:rPr>
      </w:pPr>
      <w:r w:rsidRPr="00AD218B">
        <w:rPr>
          <w:sz w:val="28"/>
          <w:szCs w:val="28"/>
        </w:rPr>
        <w:t xml:space="preserve">З метою здобуття нових знань та можливості в подальшому розпочати власну підприємницьку діяльність у Центрі розвитку підприємництва “Бізнес-Інкубатор” Інституту економіки та управління у нафтогазовому комплексі ІФНТУНГ з ініціативи виконавчого комітету Івано-Франківської міської ради, зокрема управління праці, впродовж </w:t>
      </w:r>
      <w:r w:rsidR="00E8260F">
        <w:rPr>
          <w:sz w:val="28"/>
          <w:szCs w:val="28"/>
        </w:rPr>
        <w:t>березня-травня цього року</w:t>
      </w:r>
      <w:r w:rsidRPr="00AD218B">
        <w:rPr>
          <w:sz w:val="28"/>
          <w:szCs w:val="28"/>
        </w:rPr>
        <w:t xml:space="preserve"> проводились навчальні курси з основ програмування для учасників, ветеранів АТО та членів їх сімей, а також з основ комп’ютерної грамоти для осіб – власників картки </w:t>
      </w:r>
      <w:proofErr w:type="spellStart"/>
      <w:r w:rsidRPr="00AD218B">
        <w:rPr>
          <w:sz w:val="28"/>
          <w:szCs w:val="28"/>
        </w:rPr>
        <w:t>іванофранківця</w:t>
      </w:r>
      <w:proofErr w:type="spellEnd"/>
      <w:r w:rsidRPr="00AD218B">
        <w:rPr>
          <w:sz w:val="28"/>
          <w:szCs w:val="28"/>
        </w:rPr>
        <w:t xml:space="preserve">. </w:t>
      </w:r>
      <w:r w:rsidR="00E8260F" w:rsidRPr="00AD218B">
        <w:rPr>
          <w:sz w:val="28"/>
          <w:szCs w:val="28"/>
        </w:rPr>
        <w:t xml:space="preserve">Для інформування якнайбільшої кількості майбутніх учасників </w:t>
      </w:r>
      <w:r w:rsidR="00E8260F" w:rsidRPr="00AD218B">
        <w:rPr>
          <w:sz w:val="28"/>
          <w:szCs w:val="28"/>
        </w:rPr>
        <w:lastRenderedPageBreak/>
        <w:t>навчання управлінням праці був підготовлений спеціальний рекламний ролик, який впродовж лютого-березня транслювався на ТРК “Вежа”.</w:t>
      </w:r>
    </w:p>
    <w:p w:rsidR="00AD218B" w:rsidRDefault="00E8260F" w:rsidP="001A2503">
      <w:pPr>
        <w:ind w:firstLine="851"/>
        <w:jc w:val="both"/>
        <w:rPr>
          <w:sz w:val="28"/>
          <w:szCs w:val="28"/>
        </w:rPr>
      </w:pPr>
      <w:r>
        <w:rPr>
          <w:sz w:val="28"/>
          <w:szCs w:val="28"/>
        </w:rPr>
        <w:t xml:space="preserve">Спеціальні сертифікати про проходження навчання отримали </w:t>
      </w:r>
      <w:r w:rsidR="00AD218B" w:rsidRPr="00AD218B">
        <w:rPr>
          <w:sz w:val="28"/>
          <w:szCs w:val="28"/>
        </w:rPr>
        <w:t>14 учасників АТО та 24 власники картки франківця</w:t>
      </w:r>
      <w:r>
        <w:rPr>
          <w:sz w:val="28"/>
          <w:szCs w:val="28"/>
        </w:rPr>
        <w:t>.</w:t>
      </w:r>
      <w:r w:rsidR="00AD218B" w:rsidRPr="00AD218B">
        <w:rPr>
          <w:sz w:val="28"/>
          <w:szCs w:val="28"/>
        </w:rPr>
        <w:t xml:space="preserve"> </w:t>
      </w:r>
    </w:p>
    <w:p w:rsidR="007A6FB3" w:rsidRDefault="007A6FB3" w:rsidP="001A2503">
      <w:pPr>
        <w:ind w:firstLine="851"/>
        <w:jc w:val="both"/>
        <w:rPr>
          <w:sz w:val="28"/>
          <w:szCs w:val="28"/>
        </w:rPr>
      </w:pPr>
    </w:p>
    <w:p w:rsidR="00955704" w:rsidRDefault="00955704" w:rsidP="001A2503">
      <w:pPr>
        <w:ind w:firstLine="851"/>
        <w:jc w:val="both"/>
        <w:rPr>
          <w:sz w:val="28"/>
          <w:szCs w:val="28"/>
        </w:rPr>
      </w:pPr>
      <w:r w:rsidRPr="00955704">
        <w:rPr>
          <w:sz w:val="28"/>
          <w:szCs w:val="28"/>
        </w:rPr>
        <w:t>Для вирішення основних завдань, зазначених в Програмі управління праці пропонує:</w:t>
      </w:r>
    </w:p>
    <w:p w:rsidR="00871606" w:rsidRDefault="00871606" w:rsidP="001A2503">
      <w:pPr>
        <w:ind w:firstLine="851"/>
        <w:jc w:val="both"/>
        <w:rPr>
          <w:sz w:val="28"/>
          <w:szCs w:val="28"/>
        </w:rPr>
      </w:pPr>
      <w:r>
        <w:rPr>
          <w:sz w:val="28"/>
          <w:szCs w:val="28"/>
        </w:rPr>
        <w:t>1. Продовжити проведення інформаційно-роз’яснювальної роботи з суб’єктами господарювання, найманими працівниками та мешканцями міста щодо легалізації найманої праці та зайнятості населення із залученням інспектора праці виконавчого комітету міської ради.</w:t>
      </w:r>
    </w:p>
    <w:p w:rsidR="00871606" w:rsidRDefault="00871606" w:rsidP="001A2503">
      <w:pPr>
        <w:ind w:firstLine="851"/>
        <w:jc w:val="both"/>
        <w:rPr>
          <w:sz w:val="28"/>
          <w:szCs w:val="28"/>
        </w:rPr>
      </w:pPr>
      <w:r>
        <w:rPr>
          <w:sz w:val="28"/>
          <w:szCs w:val="28"/>
        </w:rPr>
        <w:t xml:space="preserve">2. </w:t>
      </w:r>
      <w:r w:rsidR="005D624D">
        <w:rPr>
          <w:sz w:val="28"/>
          <w:szCs w:val="28"/>
        </w:rPr>
        <w:t>З метою зменшення відтоку робочої сили за кордон, проводити роботу з роботодавцями для підвищення заробітної плати найманим працівникам.</w:t>
      </w:r>
    </w:p>
    <w:p w:rsidR="00955704" w:rsidRDefault="005D624D" w:rsidP="00955704">
      <w:pPr>
        <w:pStyle w:val="a6"/>
        <w:ind w:left="0" w:firstLine="851"/>
        <w:jc w:val="both"/>
        <w:rPr>
          <w:sz w:val="28"/>
          <w:szCs w:val="28"/>
        </w:rPr>
      </w:pPr>
      <w:r>
        <w:rPr>
          <w:sz w:val="28"/>
          <w:szCs w:val="28"/>
        </w:rPr>
        <w:t>3</w:t>
      </w:r>
      <w:r w:rsidR="00955704">
        <w:rPr>
          <w:sz w:val="28"/>
          <w:szCs w:val="28"/>
        </w:rPr>
        <w:t>. Розглянути питання щодо створення кластеру підприємців робітничих професій, що дасть можливість забезпечити економіку міста кваліфікованими робітничими кадрами відповідно до потреб ринку праці, розпочати власну справу</w:t>
      </w:r>
      <w:r w:rsidR="006E6615">
        <w:rPr>
          <w:sz w:val="28"/>
          <w:szCs w:val="28"/>
        </w:rPr>
        <w:t xml:space="preserve"> випускникам ПТНЗ</w:t>
      </w:r>
      <w:r w:rsidR="00955704">
        <w:rPr>
          <w:sz w:val="28"/>
          <w:szCs w:val="28"/>
        </w:rPr>
        <w:t xml:space="preserve"> та забезпечить створення нових робочих місць.</w:t>
      </w:r>
    </w:p>
    <w:p w:rsidR="00300AC6" w:rsidRDefault="005D624D" w:rsidP="00955704">
      <w:pPr>
        <w:pStyle w:val="a6"/>
        <w:ind w:left="0" w:firstLine="851"/>
        <w:jc w:val="both"/>
        <w:rPr>
          <w:sz w:val="28"/>
          <w:szCs w:val="28"/>
        </w:rPr>
      </w:pPr>
      <w:r>
        <w:rPr>
          <w:sz w:val="28"/>
          <w:szCs w:val="28"/>
        </w:rPr>
        <w:t>4</w:t>
      </w:r>
      <w:r w:rsidR="00955704">
        <w:rPr>
          <w:sz w:val="28"/>
          <w:szCs w:val="28"/>
        </w:rPr>
        <w:t xml:space="preserve">. На базі </w:t>
      </w:r>
      <w:r w:rsidR="00955704" w:rsidRPr="007A6FB3">
        <w:rPr>
          <w:sz w:val="28"/>
          <w:szCs w:val="28"/>
        </w:rPr>
        <w:t>“</w:t>
      </w:r>
      <w:r w:rsidR="00955704">
        <w:rPr>
          <w:sz w:val="28"/>
          <w:szCs w:val="28"/>
        </w:rPr>
        <w:t>Бізнес-Інкубатора</w:t>
      </w:r>
      <w:r w:rsidR="00955704" w:rsidRPr="007A6FB3">
        <w:rPr>
          <w:sz w:val="28"/>
          <w:szCs w:val="28"/>
        </w:rPr>
        <w:t>”</w:t>
      </w:r>
      <w:r w:rsidR="00955704">
        <w:rPr>
          <w:sz w:val="28"/>
          <w:szCs w:val="28"/>
        </w:rPr>
        <w:t xml:space="preserve"> проводити роботу, направлену </w:t>
      </w:r>
      <w:r w:rsidR="00300AC6">
        <w:rPr>
          <w:sz w:val="28"/>
          <w:szCs w:val="28"/>
        </w:rPr>
        <w:t xml:space="preserve">на те, щоб надати </w:t>
      </w:r>
      <w:r w:rsidR="007A6FB3">
        <w:rPr>
          <w:sz w:val="28"/>
          <w:szCs w:val="28"/>
        </w:rPr>
        <w:t xml:space="preserve">випускникам ПТНЗ, які </w:t>
      </w:r>
      <w:r w:rsidR="00300AC6">
        <w:rPr>
          <w:sz w:val="28"/>
          <w:szCs w:val="28"/>
        </w:rPr>
        <w:t>бажаю</w:t>
      </w:r>
      <w:r w:rsidR="007A6FB3">
        <w:rPr>
          <w:sz w:val="28"/>
          <w:szCs w:val="28"/>
        </w:rPr>
        <w:t>ть</w:t>
      </w:r>
      <w:r w:rsidR="00300AC6">
        <w:rPr>
          <w:sz w:val="28"/>
          <w:szCs w:val="28"/>
        </w:rPr>
        <w:t xml:space="preserve"> </w:t>
      </w:r>
      <w:r w:rsidR="007A6FB3">
        <w:rPr>
          <w:sz w:val="28"/>
          <w:szCs w:val="28"/>
        </w:rPr>
        <w:t>займатись</w:t>
      </w:r>
      <w:r w:rsidR="00300AC6">
        <w:rPr>
          <w:sz w:val="28"/>
          <w:szCs w:val="28"/>
        </w:rPr>
        <w:t xml:space="preserve"> підприємницьк</w:t>
      </w:r>
      <w:r w:rsidR="007A6FB3">
        <w:rPr>
          <w:sz w:val="28"/>
          <w:szCs w:val="28"/>
        </w:rPr>
        <w:t>ою</w:t>
      </w:r>
      <w:r w:rsidR="00300AC6">
        <w:rPr>
          <w:sz w:val="28"/>
          <w:szCs w:val="28"/>
        </w:rPr>
        <w:t xml:space="preserve"> діяльніст</w:t>
      </w:r>
      <w:r w:rsidR="007A6FB3">
        <w:rPr>
          <w:sz w:val="28"/>
          <w:szCs w:val="28"/>
        </w:rPr>
        <w:t>ю</w:t>
      </w:r>
      <w:r w:rsidR="00300AC6">
        <w:rPr>
          <w:sz w:val="28"/>
          <w:szCs w:val="28"/>
        </w:rPr>
        <w:t xml:space="preserve"> допомогу у реєстрації себе як ФОП та </w:t>
      </w:r>
      <w:r w:rsidR="00A349F4">
        <w:rPr>
          <w:sz w:val="28"/>
          <w:szCs w:val="28"/>
        </w:rPr>
        <w:t xml:space="preserve">у </w:t>
      </w:r>
      <w:r w:rsidR="00300AC6">
        <w:rPr>
          <w:sz w:val="28"/>
          <w:szCs w:val="28"/>
        </w:rPr>
        <w:t>підготовці бізнес-плану.</w:t>
      </w:r>
    </w:p>
    <w:p w:rsidR="00955704" w:rsidRPr="00955704" w:rsidRDefault="005D624D" w:rsidP="00955704">
      <w:pPr>
        <w:pStyle w:val="a6"/>
        <w:ind w:left="0" w:firstLine="851"/>
        <w:jc w:val="both"/>
        <w:rPr>
          <w:sz w:val="28"/>
          <w:szCs w:val="28"/>
        </w:rPr>
      </w:pPr>
      <w:r>
        <w:rPr>
          <w:sz w:val="28"/>
          <w:szCs w:val="28"/>
        </w:rPr>
        <w:t>5</w:t>
      </w:r>
      <w:r w:rsidR="00300AC6">
        <w:rPr>
          <w:sz w:val="28"/>
          <w:szCs w:val="28"/>
        </w:rPr>
        <w:t>. Проводити заходи на базі підприємств, на яких учні ПТНЗ матимуть змогу ознайомитись з кращими практиками ведення бізнесу, а суб’єктам господарювання підібрати потенційні кадри.</w:t>
      </w:r>
      <w:r w:rsidR="00955704">
        <w:rPr>
          <w:sz w:val="28"/>
          <w:szCs w:val="28"/>
        </w:rPr>
        <w:t xml:space="preserve"> </w:t>
      </w:r>
    </w:p>
    <w:p w:rsidR="00186CED" w:rsidRPr="00297739" w:rsidRDefault="00186CED" w:rsidP="00186CED">
      <w:pPr>
        <w:ind w:firstLine="851"/>
        <w:jc w:val="both"/>
        <w:rPr>
          <w:sz w:val="28"/>
          <w:szCs w:val="28"/>
        </w:rPr>
      </w:pPr>
    </w:p>
    <w:p w:rsidR="00EC5D2D" w:rsidRPr="00ED3D11" w:rsidRDefault="00EC5D2D" w:rsidP="00B37195">
      <w:pPr>
        <w:ind w:firstLine="851"/>
        <w:jc w:val="both"/>
        <w:rPr>
          <w:sz w:val="28"/>
          <w:szCs w:val="28"/>
        </w:rPr>
      </w:pPr>
    </w:p>
    <w:p w:rsidR="00DA7DB9" w:rsidRDefault="00DA7DB9" w:rsidP="003F7E45">
      <w:pPr>
        <w:jc w:val="both"/>
        <w:rPr>
          <w:sz w:val="28"/>
          <w:szCs w:val="28"/>
        </w:rPr>
      </w:pPr>
    </w:p>
    <w:p w:rsidR="005D624D" w:rsidRDefault="005D624D" w:rsidP="003F7E45">
      <w:pPr>
        <w:jc w:val="both"/>
        <w:rPr>
          <w:sz w:val="28"/>
          <w:szCs w:val="28"/>
        </w:rPr>
      </w:pPr>
    </w:p>
    <w:p w:rsidR="005D624D" w:rsidRDefault="005D624D" w:rsidP="003F7E45">
      <w:pPr>
        <w:jc w:val="both"/>
        <w:rPr>
          <w:sz w:val="28"/>
          <w:szCs w:val="28"/>
        </w:rPr>
      </w:pPr>
    </w:p>
    <w:p w:rsidR="003F7E45" w:rsidRDefault="00F92A4A" w:rsidP="003F7E45">
      <w:pPr>
        <w:jc w:val="both"/>
        <w:rPr>
          <w:sz w:val="28"/>
          <w:szCs w:val="28"/>
        </w:rPr>
      </w:pPr>
      <w:r>
        <w:rPr>
          <w:sz w:val="28"/>
          <w:szCs w:val="28"/>
        </w:rPr>
        <w:t xml:space="preserve">Начальник управління </w:t>
      </w:r>
      <w:r w:rsidR="00E8260F">
        <w:rPr>
          <w:sz w:val="28"/>
          <w:szCs w:val="28"/>
        </w:rPr>
        <w:t>праці</w:t>
      </w:r>
      <w:r>
        <w:rPr>
          <w:sz w:val="28"/>
          <w:szCs w:val="28"/>
        </w:rPr>
        <w:t xml:space="preserve">                                             Наталія Дмитраш</w:t>
      </w:r>
    </w:p>
    <w:p w:rsidR="003F7E45" w:rsidRDefault="003F7E45" w:rsidP="003F7E45">
      <w:pPr>
        <w:jc w:val="both"/>
        <w:rPr>
          <w:sz w:val="28"/>
          <w:szCs w:val="28"/>
        </w:rPr>
      </w:pPr>
    </w:p>
    <w:p w:rsidR="0008533E" w:rsidRDefault="0008533E" w:rsidP="003F7E45">
      <w:pPr>
        <w:jc w:val="both"/>
      </w:pPr>
    </w:p>
    <w:p w:rsidR="0008533E" w:rsidRDefault="0008533E" w:rsidP="003F7E45">
      <w:pPr>
        <w:jc w:val="both"/>
      </w:pPr>
    </w:p>
    <w:p w:rsidR="00396449" w:rsidRDefault="00396449" w:rsidP="003F7E45">
      <w:pPr>
        <w:jc w:val="both"/>
      </w:pPr>
    </w:p>
    <w:p w:rsidR="00A349F4" w:rsidRDefault="00A349F4" w:rsidP="003F7E45">
      <w:pPr>
        <w:jc w:val="both"/>
      </w:pPr>
    </w:p>
    <w:p w:rsidR="00A349F4" w:rsidRDefault="00A349F4" w:rsidP="003F7E45">
      <w:pPr>
        <w:jc w:val="both"/>
      </w:pPr>
    </w:p>
    <w:p w:rsidR="00A349F4" w:rsidRDefault="00A349F4" w:rsidP="003F7E45">
      <w:pPr>
        <w:jc w:val="both"/>
      </w:pPr>
    </w:p>
    <w:p w:rsidR="00A349F4" w:rsidRDefault="00A349F4" w:rsidP="003F7E45">
      <w:pPr>
        <w:jc w:val="both"/>
      </w:pPr>
    </w:p>
    <w:p w:rsidR="00A349F4" w:rsidRDefault="00A349F4" w:rsidP="003F7E45">
      <w:pPr>
        <w:jc w:val="both"/>
      </w:pPr>
    </w:p>
    <w:p w:rsidR="00A349F4" w:rsidRDefault="00A349F4" w:rsidP="003F7E45">
      <w:pPr>
        <w:jc w:val="both"/>
      </w:pPr>
    </w:p>
    <w:sectPr w:rsidR="00A349F4" w:rsidSect="005D624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6D2C13"/>
    <w:multiLevelType w:val="hybridMultilevel"/>
    <w:tmpl w:val="44F6F028"/>
    <w:lvl w:ilvl="0" w:tplc="A1D2A18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CFC"/>
    <w:rsid w:val="00007BE0"/>
    <w:rsid w:val="000166F7"/>
    <w:rsid w:val="00020703"/>
    <w:rsid w:val="000440A7"/>
    <w:rsid w:val="00046C13"/>
    <w:rsid w:val="00051F10"/>
    <w:rsid w:val="0008533E"/>
    <w:rsid w:val="000855CE"/>
    <w:rsid w:val="000920AA"/>
    <w:rsid w:val="000D6AE2"/>
    <w:rsid w:val="000F4115"/>
    <w:rsid w:val="00122598"/>
    <w:rsid w:val="00145615"/>
    <w:rsid w:val="00175803"/>
    <w:rsid w:val="00186CED"/>
    <w:rsid w:val="001A2503"/>
    <w:rsid w:val="001A4164"/>
    <w:rsid w:val="001C1573"/>
    <w:rsid w:val="001E0D78"/>
    <w:rsid w:val="00221E1D"/>
    <w:rsid w:val="00242526"/>
    <w:rsid w:val="002861DF"/>
    <w:rsid w:val="00297739"/>
    <w:rsid w:val="002A0610"/>
    <w:rsid w:val="002C6C4C"/>
    <w:rsid w:val="00300AC6"/>
    <w:rsid w:val="00311D60"/>
    <w:rsid w:val="00334B1E"/>
    <w:rsid w:val="00396449"/>
    <w:rsid w:val="003D77F2"/>
    <w:rsid w:val="003F7E45"/>
    <w:rsid w:val="00424405"/>
    <w:rsid w:val="004462C6"/>
    <w:rsid w:val="0049056C"/>
    <w:rsid w:val="00491BBA"/>
    <w:rsid w:val="004B0BCF"/>
    <w:rsid w:val="004B5B31"/>
    <w:rsid w:val="004D595F"/>
    <w:rsid w:val="004E6CA4"/>
    <w:rsid w:val="004F7D1E"/>
    <w:rsid w:val="0050595F"/>
    <w:rsid w:val="005158A5"/>
    <w:rsid w:val="0054123B"/>
    <w:rsid w:val="00546E3A"/>
    <w:rsid w:val="00547CEC"/>
    <w:rsid w:val="00572C1A"/>
    <w:rsid w:val="005762FA"/>
    <w:rsid w:val="005905C1"/>
    <w:rsid w:val="005B0D50"/>
    <w:rsid w:val="005C7585"/>
    <w:rsid w:val="005D624D"/>
    <w:rsid w:val="006733CB"/>
    <w:rsid w:val="00684D67"/>
    <w:rsid w:val="006E21E1"/>
    <w:rsid w:val="006E6615"/>
    <w:rsid w:val="006F7560"/>
    <w:rsid w:val="0075749C"/>
    <w:rsid w:val="00771CFC"/>
    <w:rsid w:val="00784443"/>
    <w:rsid w:val="00791144"/>
    <w:rsid w:val="007A6FB3"/>
    <w:rsid w:val="00815C57"/>
    <w:rsid w:val="00817ABD"/>
    <w:rsid w:val="00827CA7"/>
    <w:rsid w:val="0084096B"/>
    <w:rsid w:val="00871606"/>
    <w:rsid w:val="00892E77"/>
    <w:rsid w:val="00895BFE"/>
    <w:rsid w:val="008C5F1E"/>
    <w:rsid w:val="008C7CAD"/>
    <w:rsid w:val="008F5D7D"/>
    <w:rsid w:val="008F6A4C"/>
    <w:rsid w:val="00937FD7"/>
    <w:rsid w:val="00955704"/>
    <w:rsid w:val="009821B3"/>
    <w:rsid w:val="00982558"/>
    <w:rsid w:val="00987A3E"/>
    <w:rsid w:val="009E2A23"/>
    <w:rsid w:val="00A316BC"/>
    <w:rsid w:val="00A32260"/>
    <w:rsid w:val="00A3438C"/>
    <w:rsid w:val="00A349F4"/>
    <w:rsid w:val="00A62487"/>
    <w:rsid w:val="00AB5198"/>
    <w:rsid w:val="00AD218B"/>
    <w:rsid w:val="00B04C48"/>
    <w:rsid w:val="00B37195"/>
    <w:rsid w:val="00B65E8B"/>
    <w:rsid w:val="00B75C57"/>
    <w:rsid w:val="00BB34E9"/>
    <w:rsid w:val="00C03122"/>
    <w:rsid w:val="00C1159F"/>
    <w:rsid w:val="00C500E9"/>
    <w:rsid w:val="00C60C71"/>
    <w:rsid w:val="00C81551"/>
    <w:rsid w:val="00C83C4E"/>
    <w:rsid w:val="00C87768"/>
    <w:rsid w:val="00CB7356"/>
    <w:rsid w:val="00CE04F4"/>
    <w:rsid w:val="00D02447"/>
    <w:rsid w:val="00D2799C"/>
    <w:rsid w:val="00D4138F"/>
    <w:rsid w:val="00D50BED"/>
    <w:rsid w:val="00D67F04"/>
    <w:rsid w:val="00D775B7"/>
    <w:rsid w:val="00D84CC7"/>
    <w:rsid w:val="00DA7DB9"/>
    <w:rsid w:val="00DD344F"/>
    <w:rsid w:val="00E23BFF"/>
    <w:rsid w:val="00E31988"/>
    <w:rsid w:val="00E539CF"/>
    <w:rsid w:val="00E73FA2"/>
    <w:rsid w:val="00E8260F"/>
    <w:rsid w:val="00E86CE4"/>
    <w:rsid w:val="00E8762E"/>
    <w:rsid w:val="00EC5D2D"/>
    <w:rsid w:val="00ED3D11"/>
    <w:rsid w:val="00EF1188"/>
    <w:rsid w:val="00EF5ADC"/>
    <w:rsid w:val="00F247FF"/>
    <w:rsid w:val="00F35261"/>
    <w:rsid w:val="00F632B7"/>
    <w:rsid w:val="00F83EF5"/>
    <w:rsid w:val="00F92A4A"/>
    <w:rsid w:val="00FA3123"/>
    <w:rsid w:val="00FD02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824192-FB0D-4FF5-8661-237D5BEB4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uk-UA"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CFC"/>
    <w:pPr>
      <w:spacing w:line="240" w:lineRule="auto"/>
    </w:pPr>
    <w:rPr>
      <w:rFonts w:eastAsia="Times New Roman" w:cs="Times New Roman"/>
      <w:sz w:val="24"/>
      <w:szCs w:val="24"/>
      <w:lang w:eastAsia="ru-RU"/>
    </w:rPr>
  </w:style>
  <w:style w:type="paragraph" w:styleId="1">
    <w:name w:val="heading 1"/>
    <w:basedOn w:val="a"/>
    <w:next w:val="a"/>
    <w:link w:val="10"/>
    <w:qFormat/>
    <w:rsid w:val="00F92A4A"/>
    <w:pPr>
      <w:keepNext/>
      <w:jc w:val="center"/>
      <w:outlineLvl w:val="0"/>
    </w:pPr>
    <w:rPr>
      <w:sz w:val="28"/>
      <w:szCs w:val="20"/>
      <w:lang w:val="ru-RU"/>
    </w:rPr>
  </w:style>
  <w:style w:type="paragraph" w:styleId="4">
    <w:name w:val="heading 4"/>
    <w:basedOn w:val="a"/>
    <w:next w:val="a"/>
    <w:link w:val="40"/>
    <w:qFormat/>
    <w:rsid w:val="00F92A4A"/>
    <w:pPr>
      <w:keepNext/>
      <w:spacing w:line="360" w:lineRule="auto"/>
      <w:jc w:val="center"/>
      <w:outlineLvl w:val="3"/>
    </w:pPr>
    <w:rPr>
      <w:b/>
      <w:sz w:val="32"/>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92A4A"/>
    <w:rPr>
      <w:rFonts w:eastAsia="Times New Roman" w:cs="Times New Roman"/>
      <w:szCs w:val="20"/>
      <w:lang w:val="ru-RU" w:eastAsia="ru-RU"/>
    </w:rPr>
  </w:style>
  <w:style w:type="character" w:customStyle="1" w:styleId="40">
    <w:name w:val="Заголовок 4 Знак"/>
    <w:basedOn w:val="a0"/>
    <w:link w:val="4"/>
    <w:rsid w:val="00F92A4A"/>
    <w:rPr>
      <w:rFonts w:eastAsia="Times New Roman" w:cs="Times New Roman"/>
      <w:b/>
      <w:sz w:val="32"/>
      <w:szCs w:val="20"/>
      <w:lang w:val="ru-RU" w:eastAsia="ru-RU"/>
    </w:rPr>
  </w:style>
  <w:style w:type="paragraph" w:styleId="a3">
    <w:name w:val="Balloon Text"/>
    <w:basedOn w:val="a"/>
    <w:link w:val="a4"/>
    <w:uiPriority w:val="99"/>
    <w:semiHidden/>
    <w:unhideWhenUsed/>
    <w:rsid w:val="00020703"/>
    <w:rPr>
      <w:rFonts w:ascii="Segoe UI" w:hAnsi="Segoe UI" w:cs="Segoe UI"/>
      <w:sz w:val="18"/>
      <w:szCs w:val="18"/>
    </w:rPr>
  </w:style>
  <w:style w:type="character" w:customStyle="1" w:styleId="a4">
    <w:name w:val="Текст выноски Знак"/>
    <w:basedOn w:val="a0"/>
    <w:link w:val="a3"/>
    <w:uiPriority w:val="99"/>
    <w:semiHidden/>
    <w:rsid w:val="00020703"/>
    <w:rPr>
      <w:rFonts w:ascii="Segoe UI" w:eastAsia="Times New Roman" w:hAnsi="Segoe UI" w:cs="Segoe UI"/>
      <w:sz w:val="18"/>
      <w:szCs w:val="18"/>
      <w:lang w:eastAsia="ru-RU"/>
    </w:rPr>
  </w:style>
  <w:style w:type="table" w:styleId="a5">
    <w:name w:val="Table Grid"/>
    <w:basedOn w:val="a1"/>
    <w:uiPriority w:val="39"/>
    <w:rsid w:val="00892E7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9557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7500</Words>
  <Characters>4276</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Тендер</dc:creator>
  <cp:keywords/>
  <dc:description/>
  <cp:lastModifiedBy>Користувач Windows</cp:lastModifiedBy>
  <cp:revision>2</cp:revision>
  <cp:lastPrinted>2018-09-20T13:15:00Z</cp:lastPrinted>
  <dcterms:created xsi:type="dcterms:W3CDTF">2018-09-21T07:09:00Z</dcterms:created>
  <dcterms:modified xsi:type="dcterms:W3CDTF">2018-09-21T07:09:00Z</dcterms:modified>
</cp:coreProperties>
</file>