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B56" w:rsidRPr="004E48BB" w:rsidRDefault="00174B56" w:rsidP="00174B56">
      <w:pPr>
        <w:pStyle w:val="ac"/>
        <w:rPr>
          <w:lang w:val="uk-UA"/>
        </w:rPr>
      </w:pPr>
      <w:bookmarkStart w:id="0" w:name="_GoBack"/>
      <w:bookmarkEnd w:id="0"/>
    </w:p>
    <w:tbl>
      <w:tblPr>
        <w:tblW w:w="10678" w:type="dxa"/>
        <w:tblInd w:w="-622" w:type="dxa"/>
        <w:tblLook w:val="04A0" w:firstRow="1" w:lastRow="0" w:firstColumn="1" w:lastColumn="0" w:noHBand="0" w:noVBand="1"/>
      </w:tblPr>
      <w:tblGrid>
        <w:gridCol w:w="622"/>
        <w:gridCol w:w="108"/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23"/>
        <w:gridCol w:w="59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157"/>
        <w:gridCol w:w="830"/>
        <w:gridCol w:w="48"/>
      </w:tblGrid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center"/>
          </w:tcPr>
          <w:p w:rsidR="00174B56" w:rsidRPr="00174B56" w:rsidRDefault="00174B56" w:rsidP="00E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bottom"/>
          </w:tcPr>
          <w:p w:rsidR="00174B56" w:rsidRPr="00174B56" w:rsidRDefault="00174B56" w:rsidP="00174B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281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gridSpan w:val="2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" w:type="dxa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gridSpan w:val="3"/>
          </w:tcPr>
          <w:p w:rsidR="00174B56" w:rsidRPr="00174B56" w:rsidRDefault="00174B56" w:rsidP="00174B5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B56" w:rsidRPr="00C315F2" w:rsidTr="00174B56">
        <w:trPr>
          <w:gridBefore w:val="2"/>
          <w:wBefore w:w="730" w:type="dxa"/>
          <w:trHeight w:val="312"/>
        </w:trPr>
        <w:tc>
          <w:tcPr>
            <w:tcW w:w="9948" w:type="dxa"/>
            <w:gridSpan w:val="35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4B56" w:rsidRPr="00174B56" w:rsidTr="00174B56">
        <w:trPr>
          <w:gridBefore w:val="1"/>
          <w:gridAfter w:val="2"/>
          <w:wBefore w:w="622" w:type="dxa"/>
          <w:wAfter w:w="878" w:type="dxa"/>
          <w:trHeight w:val="312"/>
        </w:trPr>
        <w:tc>
          <w:tcPr>
            <w:tcW w:w="9178" w:type="dxa"/>
            <w:gridSpan w:val="34"/>
            <w:shd w:val="clear" w:color="auto" w:fill="auto"/>
            <w:noWrap/>
            <w:vAlign w:val="center"/>
          </w:tcPr>
          <w:p w:rsidR="00174B56" w:rsidRPr="00174B56" w:rsidRDefault="00174B56" w:rsidP="00174B56">
            <w:pPr>
              <w:tabs>
                <w:tab w:val="left" w:pos="6096"/>
              </w:tabs>
              <w:spacing w:after="0"/>
              <w:ind w:left="-7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F420D" w:rsidRPr="00A021A7" w:rsidTr="00174B56">
        <w:trPr>
          <w:gridAfter w:val="1"/>
          <w:wAfter w:w="48" w:type="dxa"/>
          <w:trHeight w:val="375"/>
        </w:trPr>
        <w:tc>
          <w:tcPr>
            <w:tcW w:w="10630" w:type="dxa"/>
            <w:gridSpan w:val="36"/>
            <w:shd w:val="clear" w:color="auto" w:fill="auto"/>
            <w:noWrap/>
            <w:vAlign w:val="center"/>
          </w:tcPr>
          <w:tbl>
            <w:tblPr>
              <w:tblW w:w="9513" w:type="dxa"/>
              <w:tblInd w:w="108" w:type="dxa"/>
              <w:tblLook w:val="04A0" w:firstRow="1" w:lastRow="0" w:firstColumn="1" w:lastColumn="0" w:noHBand="0" w:noVBand="1"/>
            </w:tblPr>
            <w:tblGrid>
              <w:gridCol w:w="9513"/>
            </w:tblGrid>
            <w:tr w:rsidR="00643722" w:rsidRPr="00D8732C" w:rsidTr="00EA2E61">
              <w:trPr>
                <w:trHeight w:val="312"/>
              </w:trPr>
              <w:tc>
                <w:tcPr>
                  <w:tcW w:w="9513" w:type="dxa"/>
                  <w:shd w:val="clear" w:color="auto" w:fill="auto"/>
                  <w:noWrap/>
                  <w:vAlign w:val="center"/>
                </w:tcPr>
                <w:p w:rsidR="00643722" w:rsidRPr="00D8732C" w:rsidRDefault="00643722" w:rsidP="00EA2E61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643722" w:rsidRDefault="00174B56" w:rsidP="00643722">
            <w:pPr>
              <w:pStyle w:val="a4"/>
              <w:tabs>
                <w:tab w:val="left" w:pos="609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</w:t>
            </w:r>
            <w:r w:rsidR="0064372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внесення на </w:t>
            </w:r>
            <w:r w:rsidR="00643722">
              <w:rPr>
                <w:rFonts w:ascii="Times New Roman" w:hAnsi="Times New Roman"/>
                <w:sz w:val="28"/>
                <w:szCs w:val="28"/>
              </w:rPr>
              <w:t>розгляд сесії</w:t>
            </w:r>
          </w:p>
          <w:p w:rsidR="00643722" w:rsidRDefault="00643722" w:rsidP="00643722">
            <w:pPr>
              <w:pStyle w:val="a4"/>
              <w:tabs>
                <w:tab w:val="left" w:pos="609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міської ради проекту рішення</w:t>
            </w:r>
          </w:p>
          <w:p w:rsidR="00643722" w:rsidRDefault="00643722" w:rsidP="00643722">
            <w:pPr>
              <w:spacing w:after="0" w:line="240" w:lineRule="auto"/>
              <w:rPr>
                <w:rStyle w:val="rvts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"</w:t>
            </w:r>
            <w:r w:rsidRPr="00EC71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Style w:val="rvts0"/>
                <w:rFonts w:ascii="Times New Roman" w:hAnsi="Times New Roman" w:cs="Times New Roman"/>
                <w:sz w:val="28"/>
                <w:szCs w:val="28"/>
              </w:rPr>
              <w:t>надання</w:t>
            </w:r>
            <w:r w:rsidRPr="00067191">
              <w:rPr>
                <w:rStyle w:val="rvts0"/>
                <w:rFonts w:ascii="Times New Roman" w:hAnsi="Times New Roman" w:cs="Times New Roman"/>
                <w:sz w:val="28"/>
                <w:szCs w:val="28"/>
              </w:rPr>
              <w:t xml:space="preserve"> пільг зі сплати </w:t>
            </w:r>
          </w:p>
          <w:p w:rsidR="00643722" w:rsidRPr="00EC7194" w:rsidRDefault="00643722" w:rsidP="0064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</w:t>
            </w:r>
            <w:r w:rsidRPr="00EC71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земельного податку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201</w:t>
            </w:r>
            <w:r w:rsidR="00147B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році"</w:t>
            </w:r>
          </w:p>
          <w:p w:rsidR="00643722" w:rsidRDefault="00643722" w:rsidP="0064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43722" w:rsidRPr="00EC7194" w:rsidRDefault="00643722" w:rsidP="0064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43722" w:rsidRPr="00EC7194" w:rsidRDefault="00643722" w:rsidP="00643722">
            <w:pPr>
              <w:keepNext/>
              <w:spacing w:after="0" w:line="240" w:lineRule="auto"/>
              <w:ind w:left="622" w:right="436" w:firstLine="86"/>
              <w:jc w:val="both"/>
              <w:outlineLvl w:val="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C7194">
              <w:rPr>
                <w:rFonts w:ascii="Times New Roman" w:hAnsi="Times New Roman" w:cs="Times New Roman"/>
                <w:sz w:val="28"/>
                <w:szCs w:val="28"/>
              </w:rPr>
              <w:t>З метою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створення умов для ефективної реалізації повноважень місцевого самоврядування територіальної громади міста в галузі земельних відносин, створення належних умов для розвитку підприємницької діяльності суб`єктам </w:t>
            </w:r>
            <w:r w:rsidR="00C70EA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господарювання, </w:t>
            </w:r>
            <w:r w:rsidR="00C70EA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>керуюч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ись </w:t>
            </w:r>
            <w:r w:rsidR="00C70EA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Земельним </w:t>
            </w:r>
            <w:r w:rsidR="00C70EA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кодексом </w:t>
            </w:r>
            <w:r w:rsidR="00C70EA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України, ст. ст.12.4, 30, 281, 282, 284 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>Податков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ого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кодекс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України,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З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ом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України "Про внесення змін до Податкового кодексу України та деяких законодавчих актів України щодо податкової реформи", ст.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52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Закону України "Про місцеве самоврядування в Україні",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виконавчий комітет 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>місь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кої</w:t>
            </w:r>
            <w:r w:rsidRPr="00EC719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</w:t>
            </w:r>
          </w:p>
          <w:p w:rsidR="00643722" w:rsidRPr="00EC7194" w:rsidRDefault="00643722" w:rsidP="0064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43722" w:rsidRDefault="00643722" w:rsidP="0064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71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 и р і ш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EC71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643722" w:rsidRDefault="00643722" w:rsidP="0064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43722" w:rsidRDefault="00643722" w:rsidP="00643722">
            <w:pPr>
              <w:pStyle w:val="a3"/>
              <w:spacing w:after="0" w:line="240" w:lineRule="auto"/>
              <w:ind w:left="709" w:right="4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1. </w:t>
            </w:r>
            <w:r w:rsidRPr="00FB7937">
              <w:rPr>
                <w:rFonts w:ascii="Times New Roman" w:hAnsi="Times New Roman" w:cs="Times New Roman"/>
                <w:sz w:val="28"/>
                <w:szCs w:val="28"/>
              </w:rPr>
              <w:t>Внести на розгляд сесії Івано-Франківської міської ради проект рішення "</w:t>
            </w:r>
            <w:r w:rsidRPr="00FB793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Style w:val="rvts0"/>
                <w:rFonts w:ascii="Times New Roman" w:hAnsi="Times New Roman" w:cs="Times New Roman"/>
                <w:sz w:val="28"/>
                <w:szCs w:val="28"/>
              </w:rPr>
              <w:t>надання</w:t>
            </w:r>
            <w:r w:rsidRPr="00FB7937">
              <w:rPr>
                <w:rStyle w:val="rvts0"/>
                <w:rFonts w:ascii="Times New Roman" w:hAnsi="Times New Roman" w:cs="Times New Roman"/>
                <w:sz w:val="28"/>
                <w:szCs w:val="28"/>
              </w:rPr>
              <w:t xml:space="preserve"> пільг зі сплати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земельного податку в 201</w:t>
            </w:r>
            <w:r w:rsidR="00C70EA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FB793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році"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(додається).</w:t>
            </w:r>
          </w:p>
          <w:p w:rsidR="00643722" w:rsidRDefault="00643722" w:rsidP="00643722">
            <w:pPr>
              <w:tabs>
                <w:tab w:val="left" w:pos="561"/>
              </w:tabs>
              <w:spacing w:line="216" w:lineRule="auto"/>
              <w:ind w:left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722" w:rsidRPr="00643722" w:rsidRDefault="00643722" w:rsidP="00643722">
            <w:pPr>
              <w:tabs>
                <w:tab w:val="left" w:pos="561"/>
                <w:tab w:val="left" w:pos="9836"/>
              </w:tabs>
              <w:spacing w:line="216" w:lineRule="auto"/>
              <w:ind w:left="708" w:right="4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2. </w:t>
            </w:r>
            <w:r w:rsidRPr="00643722">
              <w:rPr>
                <w:rFonts w:ascii="Times New Roman" w:hAnsi="Times New Roman" w:cs="Times New Roman"/>
                <w:sz w:val="28"/>
                <w:szCs w:val="28"/>
              </w:rPr>
              <w:t>Контроль за виконанням рішення покласти на заступника міського голови О. Кайду.</w:t>
            </w:r>
          </w:p>
          <w:p w:rsidR="00643722" w:rsidRPr="00FB7937" w:rsidRDefault="00643722" w:rsidP="00643722">
            <w:pPr>
              <w:pStyle w:val="a3"/>
              <w:tabs>
                <w:tab w:val="left" w:pos="561"/>
              </w:tabs>
              <w:spacing w:line="216" w:lineRule="auto"/>
              <w:ind w:left="1068"/>
              <w:jc w:val="both"/>
              <w:rPr>
                <w:sz w:val="28"/>
                <w:szCs w:val="28"/>
              </w:rPr>
            </w:pPr>
          </w:p>
          <w:p w:rsidR="00643722" w:rsidRPr="00EC1C5D" w:rsidRDefault="00643722" w:rsidP="00643722">
            <w:pPr>
              <w:pStyle w:val="a4"/>
              <w:tabs>
                <w:tab w:val="left" w:pos="6096"/>
              </w:tabs>
              <w:ind w:left="1068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  <w:r w:rsidRPr="00D24646">
              <w:rPr>
                <w:rFonts w:ascii="Times New Roman CYR" w:hAnsi="Times New Roman CYR" w:cs="Times New Roman CYR"/>
                <w:sz w:val="28"/>
                <w:szCs w:val="28"/>
              </w:rPr>
              <w:t>Мі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ський голова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ab/>
              <w:t xml:space="preserve">    Руслан Марцінків</w:t>
            </w:r>
          </w:p>
          <w:p w:rsidR="00643722" w:rsidRPr="00FB7937" w:rsidRDefault="00643722" w:rsidP="00643722">
            <w:pPr>
              <w:pStyle w:val="a3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F420D" w:rsidRPr="00A021A7" w:rsidRDefault="006F420D" w:rsidP="0026532F">
            <w:pPr>
              <w:tabs>
                <w:tab w:val="left" w:pos="3316"/>
                <w:tab w:val="left" w:pos="3352"/>
                <w:tab w:val="left" w:pos="345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F420D" w:rsidRPr="00A021A7" w:rsidTr="00174B56">
        <w:trPr>
          <w:gridAfter w:val="1"/>
          <w:wAfter w:w="48" w:type="dxa"/>
          <w:trHeight w:val="300"/>
        </w:trPr>
        <w:tc>
          <w:tcPr>
            <w:tcW w:w="10630" w:type="dxa"/>
            <w:gridSpan w:val="36"/>
            <w:shd w:val="clear" w:color="auto" w:fill="auto"/>
            <w:noWrap/>
            <w:vAlign w:val="center"/>
          </w:tcPr>
          <w:p w:rsidR="006F420D" w:rsidRPr="00A021A7" w:rsidRDefault="006F420D" w:rsidP="002653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6F420D" w:rsidRPr="00A021A7" w:rsidTr="00174B56">
        <w:trPr>
          <w:gridAfter w:val="1"/>
          <w:wAfter w:w="48" w:type="dxa"/>
          <w:trHeight w:val="439"/>
        </w:trPr>
        <w:tc>
          <w:tcPr>
            <w:tcW w:w="10630" w:type="dxa"/>
            <w:gridSpan w:val="36"/>
            <w:shd w:val="clear" w:color="auto" w:fill="auto"/>
            <w:noWrap/>
            <w:vAlign w:val="center"/>
          </w:tcPr>
          <w:p w:rsidR="006F420D" w:rsidRPr="00A021A7" w:rsidRDefault="006F420D" w:rsidP="006437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F420D" w:rsidRPr="00A021A7" w:rsidTr="00174B56">
        <w:trPr>
          <w:gridAfter w:val="1"/>
          <w:wAfter w:w="48" w:type="dxa"/>
          <w:trHeight w:val="345"/>
        </w:trPr>
        <w:tc>
          <w:tcPr>
            <w:tcW w:w="10630" w:type="dxa"/>
            <w:gridSpan w:val="36"/>
            <w:shd w:val="clear" w:color="auto" w:fill="auto"/>
            <w:noWrap/>
            <w:vAlign w:val="bottom"/>
          </w:tcPr>
          <w:p w:rsidR="006F420D" w:rsidRPr="00A021A7" w:rsidRDefault="006F420D" w:rsidP="006F42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532F" w:rsidRPr="00A021A7" w:rsidTr="00174B56">
        <w:trPr>
          <w:gridAfter w:val="17"/>
          <w:wAfter w:w="4715" w:type="dxa"/>
          <w:trHeight w:val="80"/>
        </w:trPr>
        <w:tc>
          <w:tcPr>
            <w:tcW w:w="5963" w:type="dxa"/>
            <w:gridSpan w:val="20"/>
            <w:shd w:val="clear" w:color="auto" w:fill="auto"/>
            <w:noWrap/>
            <w:vAlign w:val="bottom"/>
          </w:tcPr>
          <w:p w:rsidR="0026532F" w:rsidRPr="00A021A7" w:rsidRDefault="0026532F" w:rsidP="0064372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F420D" w:rsidRDefault="006F420D" w:rsidP="00D44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6532F" w:rsidRDefault="0026532F" w:rsidP="00D44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Default="00826A6D" w:rsidP="00826A6D">
      <w:pPr>
        <w:spacing w:after="0" w:line="240" w:lineRule="auto"/>
        <w:rPr>
          <w:rStyle w:val="rvts0"/>
          <w:rFonts w:ascii="Times New Roman" w:hAnsi="Times New Roman" w:cs="Times New Roman"/>
          <w:sz w:val="28"/>
          <w:szCs w:val="28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C17203">
        <w:rPr>
          <w:rStyle w:val="rvts0"/>
          <w:rFonts w:ascii="Times New Roman" w:hAnsi="Times New Roman" w:cs="Times New Roman"/>
          <w:sz w:val="28"/>
          <w:szCs w:val="28"/>
        </w:rPr>
        <w:t>надання</w:t>
      </w:r>
      <w:r w:rsidRPr="00067191">
        <w:rPr>
          <w:rStyle w:val="rvts0"/>
          <w:rFonts w:ascii="Times New Roman" w:hAnsi="Times New Roman" w:cs="Times New Roman"/>
          <w:sz w:val="28"/>
          <w:szCs w:val="28"/>
        </w:rPr>
        <w:t xml:space="preserve"> пільг зі сплати </w:t>
      </w:r>
    </w:p>
    <w:p w:rsidR="00826A6D" w:rsidRDefault="00826A6D" w:rsidP="0082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земельного податку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201</w:t>
      </w:r>
      <w:r w:rsidR="0064372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</w:t>
      </w:r>
    </w:p>
    <w:p w:rsidR="00FB7937" w:rsidRPr="00EC7194" w:rsidRDefault="00FB7937" w:rsidP="0082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Pr="00EC7194" w:rsidRDefault="00826A6D" w:rsidP="00826A6D">
      <w:pPr>
        <w:keepNext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noProof/>
          <w:sz w:val="28"/>
          <w:szCs w:val="28"/>
        </w:rPr>
      </w:pPr>
      <w:r w:rsidRPr="00EC7194">
        <w:rPr>
          <w:rFonts w:ascii="Times New Roman" w:hAnsi="Times New Roman" w:cs="Times New Roman"/>
          <w:sz w:val="28"/>
          <w:szCs w:val="28"/>
        </w:rPr>
        <w:t>З метою</w:t>
      </w:r>
      <w:r w:rsidRPr="00EC7194">
        <w:rPr>
          <w:rFonts w:ascii="Times New Roman" w:hAnsi="Times New Roman" w:cs="Times New Roman"/>
          <w:noProof/>
          <w:sz w:val="28"/>
          <w:szCs w:val="28"/>
        </w:rPr>
        <w:t xml:space="preserve"> створення умов для ефективної реалізації повноважень місцевого самоврядування територіальної громади міста в галузі земельних відносин, створення належних умов для розвитку підприємницької діяльності суб`єктам господарювання, керуючись Земельним кодексом України,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ст. ст.12.4, 30, </w:t>
      </w:r>
      <w:r w:rsidR="00095271">
        <w:rPr>
          <w:rFonts w:ascii="Times New Roman" w:hAnsi="Times New Roman" w:cs="Times New Roman"/>
          <w:noProof/>
          <w:sz w:val="28"/>
          <w:szCs w:val="28"/>
        </w:rPr>
        <w:t xml:space="preserve">281,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282, 284 </w:t>
      </w:r>
      <w:r w:rsidRPr="00EC7194">
        <w:rPr>
          <w:rFonts w:ascii="Times New Roman" w:hAnsi="Times New Roman" w:cs="Times New Roman"/>
          <w:noProof/>
          <w:sz w:val="28"/>
          <w:szCs w:val="28"/>
        </w:rPr>
        <w:t>Податков</w:t>
      </w:r>
      <w:r w:rsidR="00095271">
        <w:rPr>
          <w:rFonts w:ascii="Times New Roman" w:hAnsi="Times New Roman" w:cs="Times New Roman"/>
          <w:noProof/>
          <w:sz w:val="28"/>
          <w:szCs w:val="28"/>
        </w:rPr>
        <w:t>ого</w:t>
      </w:r>
      <w:r w:rsidRPr="00EC7194">
        <w:rPr>
          <w:rFonts w:ascii="Times New Roman" w:hAnsi="Times New Roman" w:cs="Times New Roman"/>
          <w:noProof/>
          <w:sz w:val="28"/>
          <w:szCs w:val="28"/>
        </w:rPr>
        <w:t xml:space="preserve"> кодекс</w:t>
      </w:r>
      <w:r w:rsidR="00095271">
        <w:rPr>
          <w:rFonts w:ascii="Times New Roman" w:hAnsi="Times New Roman" w:cs="Times New Roman"/>
          <w:noProof/>
          <w:sz w:val="28"/>
          <w:szCs w:val="28"/>
        </w:rPr>
        <w:t>у</w:t>
      </w:r>
      <w:r w:rsidRPr="00EC7194">
        <w:rPr>
          <w:rFonts w:ascii="Times New Roman" w:hAnsi="Times New Roman" w:cs="Times New Roman"/>
          <w:noProof/>
          <w:sz w:val="28"/>
          <w:szCs w:val="28"/>
        </w:rPr>
        <w:t xml:space="preserve"> України,  </w:t>
      </w:r>
      <w:r>
        <w:rPr>
          <w:rFonts w:ascii="Times New Roman" w:hAnsi="Times New Roman" w:cs="Times New Roman"/>
          <w:noProof/>
          <w:sz w:val="28"/>
          <w:szCs w:val="28"/>
        </w:rPr>
        <w:t>З</w:t>
      </w:r>
      <w:r w:rsidRPr="00EC7194">
        <w:rPr>
          <w:rFonts w:ascii="Times New Roman" w:hAnsi="Times New Roman" w:cs="Times New Roman"/>
          <w:noProof/>
          <w:sz w:val="28"/>
          <w:szCs w:val="28"/>
        </w:rPr>
        <w:t>акон</w:t>
      </w:r>
      <w:r>
        <w:rPr>
          <w:rFonts w:ascii="Times New Roman" w:hAnsi="Times New Roman" w:cs="Times New Roman"/>
          <w:noProof/>
          <w:sz w:val="28"/>
          <w:szCs w:val="28"/>
        </w:rPr>
        <w:t>ом</w:t>
      </w:r>
      <w:r w:rsidRPr="00EC7194">
        <w:rPr>
          <w:rFonts w:ascii="Times New Roman" w:hAnsi="Times New Roman" w:cs="Times New Roman"/>
          <w:noProof/>
          <w:sz w:val="28"/>
          <w:szCs w:val="28"/>
        </w:rPr>
        <w:t xml:space="preserve"> України "Про внесення змін до Податкового кодексу України та деяких законодавчих актів України щодо податкової реформи",  ст. 26 Закону України "Про місцеве самоврядування в Україні",  міська рада</w:t>
      </w:r>
    </w:p>
    <w:p w:rsidR="00826A6D" w:rsidRPr="00EC7194" w:rsidRDefault="00826A6D" w:rsidP="0082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Pr="00EC7194" w:rsidRDefault="00826A6D" w:rsidP="0082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826A6D" w:rsidRPr="00EC7194" w:rsidRDefault="00826A6D" w:rsidP="0082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Pr="00EC7194" w:rsidRDefault="00826A6D" w:rsidP="00826A6D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Звільнити від сплати земельного податку в розмірі 100 відсотків:</w:t>
      </w:r>
    </w:p>
    <w:p w:rsidR="00826A6D" w:rsidRPr="00EC7194" w:rsidRDefault="00826A6D" w:rsidP="00826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r w:rsidR="00A91FF6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Благодійні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організації, </w:t>
      </w:r>
      <w:r w:rsidR="00A91F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громадські організації правозахисної та/або культурно-просвітницької спрямованості, 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включені в реєстр неприбуткових установ та організацій.</w:t>
      </w:r>
    </w:p>
    <w:p w:rsidR="00826A6D" w:rsidRPr="00E50AA4" w:rsidRDefault="00826A6D" w:rsidP="00826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1.2</w:t>
      </w:r>
      <w:r w:rsidRPr="00E50AA4">
        <w:rPr>
          <w:rFonts w:ascii="Times New Roman" w:eastAsia="Times New Roman" w:hAnsi="Times New Roman" w:cs="Times New Roman"/>
          <w:sz w:val="28"/>
          <w:szCs w:val="28"/>
          <w:lang w:eastAsia="uk-UA"/>
        </w:rPr>
        <w:t>. Підприємства,</w:t>
      </w:r>
      <w:r w:rsidR="00763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50AA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засновниками яких є органи місцевого самоврядування міста Івано-Франківська, за умови, що частка комунальної власності в них становить 100 відсотків.</w:t>
      </w:r>
    </w:p>
    <w:p w:rsidR="00826A6D" w:rsidRPr="00EC7194" w:rsidRDefault="00826A6D" w:rsidP="00826A6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5271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. Органи державної влади та органи місцевого самоврядування, органи прокуратури, органи Міністерства внутрішніх справ, органи Державної служби з надзвичайних ситуацій, органи Служби безпеки України, військові формування, утворені відповідно до законів України, Збройні Сили України, які повністю утримуються за рахунок коштів державного або місцевих бюджетів.</w:t>
      </w:r>
    </w:p>
    <w:p w:rsidR="00826A6D" w:rsidRDefault="00826A6D" w:rsidP="00826A6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527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 w:rsidR="000952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ромадські організації фізкультурно-спортивної спрямованості, які є неприбутковими  та дитячо-юнацькі спортивні школи за земельні ділянки, які перебувають у них в користуванні та на яких розміщені спортивні споруди, що використовуються для навчально-тренувального процесу.</w:t>
      </w:r>
    </w:p>
    <w:p w:rsidR="00C70EA2" w:rsidRDefault="00C70EA2" w:rsidP="00826A6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0470A" w:rsidRDefault="00F0470A" w:rsidP="00F0470A">
      <w:pPr>
        <w:pStyle w:val="a3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</w:p>
    <w:p w:rsidR="00F0470A" w:rsidRDefault="00F0470A" w:rsidP="00826A6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Default="00C46CB9" w:rsidP="00095271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6F42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плати </w:t>
      </w:r>
      <w:r w:rsidR="00826A6D" w:rsidRPr="000952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землю для обслуговування ботанічних садів, дендрологічних парків, парків та скверів комунальної власності.</w:t>
      </w:r>
    </w:p>
    <w:p w:rsidR="00EC1C5D" w:rsidRPr="00EC1C5D" w:rsidRDefault="00643722" w:rsidP="00EC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EC1C5D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Надати пільги зі сплати земельного податку, розмірі 50%, вищим навчальним закладам І-ІV рівня акредитації, незалежно від форми власності, відповідно до наявних правовстановлюючих документів на землю.</w:t>
      </w:r>
    </w:p>
    <w:p w:rsidR="00826A6D" w:rsidRDefault="00643722" w:rsidP="00763E7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="00826A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26A6D"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платники податку, 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зазначені в пунктах</w:t>
      </w:r>
      <w:r w:rsidR="00826A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-3</w:t>
      </w:r>
      <w:r w:rsidR="00826A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даного рішення,</w:t>
      </w:r>
      <w:r w:rsidR="00826A6D"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надають в оренду земельні ділянки, окремі будівлі, споруди або їх частини, податок за такі земельні ділянки та земельні ділянки під такими будівлями (їх частинами) сплачується на загальних підставах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26A6D"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урахуванням прибудинкової території.</w:t>
      </w:r>
    </w:p>
    <w:p w:rsidR="00826A6D" w:rsidRPr="00444318" w:rsidRDefault="00643722" w:rsidP="00826A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826A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26A6D" w:rsidRPr="0044431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платникам податку, які користуються пільгами з цього податку, вивільнені кошти спрямовувати на проведення капітального та поточного ремонтів приміщень, впровадження заходів з енергозбереження та зміцнення матеріально-технічної бази.</w:t>
      </w:r>
    </w:p>
    <w:p w:rsidR="00643722" w:rsidRPr="00643722" w:rsidRDefault="00643722" w:rsidP="006437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5. </w:t>
      </w:r>
      <w:r w:rsidRPr="00643722">
        <w:rPr>
          <w:rFonts w:ascii="Times New Roman" w:hAnsi="Times New Roman" w:cs="Times New Roman"/>
          <w:sz w:val="28"/>
          <w:szCs w:val="28"/>
        </w:rPr>
        <w:t>Секретаріату міської ради (Н. Карабин) опублікувати дане рішення в газеті "Західний кур’єр".</w:t>
      </w:r>
    </w:p>
    <w:p w:rsidR="00826A6D" w:rsidRPr="00EC7194" w:rsidRDefault="00643722" w:rsidP="00826A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26A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26A6D"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Організацію виконання рішення покласти на Державну податкову інспекцію у м. Івано-Франківську головного управління Державної фіскальної служби в Івано-Франківській області (Л.Слободян).</w:t>
      </w:r>
    </w:p>
    <w:p w:rsidR="00826A6D" w:rsidRPr="00EC1C5D" w:rsidRDefault="00643722" w:rsidP="00EC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3E73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826A6D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онтроль за виконанням рішення покласти на </w:t>
      </w:r>
      <w:r w:rsidR="00095271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826A6D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заступника міського голови Б.Білика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постійну депутатську комісію з питань бюджету</w:t>
      </w:r>
      <w:r w:rsidR="00826A6D" w:rsidRP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26A6D" w:rsidRPr="00EC7194" w:rsidRDefault="00826A6D" w:rsidP="00826A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Default="00826A6D" w:rsidP="00826A6D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826A6D" w:rsidRPr="00EC7194" w:rsidRDefault="00826A6D" w:rsidP="0082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6A6D" w:rsidRPr="00EC7194" w:rsidRDefault="00826A6D" w:rsidP="0082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C71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</w:t>
      </w:r>
      <w:r w:rsidR="00EC1C5D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:rsidR="00826A6D" w:rsidRPr="00EC7194" w:rsidRDefault="00826A6D" w:rsidP="00826A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93F" w:rsidRDefault="001E193F"/>
    <w:p w:rsidR="00C119B5" w:rsidRDefault="00C119B5"/>
    <w:p w:rsidR="00C119B5" w:rsidRDefault="00C119B5"/>
    <w:p w:rsidR="00C119B5" w:rsidRDefault="00C119B5"/>
    <w:p w:rsidR="00027A90" w:rsidRDefault="00027A90"/>
    <w:p w:rsidR="00027A90" w:rsidRDefault="00027A90"/>
    <w:p w:rsidR="00027A90" w:rsidRDefault="00027A90"/>
    <w:p w:rsidR="00027A90" w:rsidRDefault="00027A90"/>
    <w:p w:rsidR="00027A90" w:rsidRDefault="00027A90"/>
    <w:p w:rsidR="00027A90" w:rsidRDefault="00027A90"/>
    <w:p w:rsidR="00027A90" w:rsidRDefault="00027A90"/>
    <w:p w:rsidR="00027A90" w:rsidRDefault="00027A90"/>
    <w:sectPr w:rsidR="00027A90" w:rsidSect="00E01190">
      <w:pgSz w:w="11906" w:h="16838"/>
      <w:pgMar w:top="1134" w:right="567" w:bottom="156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0F" w:rsidRDefault="00260D0F" w:rsidP="00B700CF">
      <w:pPr>
        <w:spacing w:after="0" w:line="240" w:lineRule="auto"/>
      </w:pPr>
      <w:r>
        <w:separator/>
      </w:r>
    </w:p>
  </w:endnote>
  <w:endnote w:type="continuationSeparator" w:id="0">
    <w:p w:rsidR="00260D0F" w:rsidRDefault="00260D0F" w:rsidP="00B7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0F" w:rsidRDefault="00260D0F" w:rsidP="00B700CF">
      <w:pPr>
        <w:spacing w:after="0" w:line="240" w:lineRule="auto"/>
      </w:pPr>
      <w:r>
        <w:separator/>
      </w:r>
    </w:p>
  </w:footnote>
  <w:footnote w:type="continuationSeparator" w:id="0">
    <w:p w:rsidR="00260D0F" w:rsidRDefault="00260D0F" w:rsidP="00B70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85205"/>
    <w:multiLevelType w:val="hybridMultilevel"/>
    <w:tmpl w:val="93883FA8"/>
    <w:lvl w:ilvl="0" w:tplc="D50A70C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3C0EFB"/>
    <w:multiLevelType w:val="multilevel"/>
    <w:tmpl w:val="D8E8F7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802D40"/>
    <w:multiLevelType w:val="multilevel"/>
    <w:tmpl w:val="36967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3A22A6"/>
    <w:multiLevelType w:val="multilevel"/>
    <w:tmpl w:val="DB6AF8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5823827"/>
    <w:multiLevelType w:val="multilevel"/>
    <w:tmpl w:val="E48ED4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CD508E7"/>
    <w:multiLevelType w:val="hybridMultilevel"/>
    <w:tmpl w:val="BE58ED08"/>
    <w:lvl w:ilvl="0" w:tplc="02A0336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D152B1"/>
    <w:multiLevelType w:val="hybridMultilevel"/>
    <w:tmpl w:val="5E8CA336"/>
    <w:lvl w:ilvl="0" w:tplc="76D2EFE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57E3C"/>
    <w:multiLevelType w:val="hybridMultilevel"/>
    <w:tmpl w:val="EA2C4792"/>
    <w:lvl w:ilvl="0" w:tplc="070A89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03F1366"/>
    <w:multiLevelType w:val="multilevel"/>
    <w:tmpl w:val="DB6AF8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2A47836"/>
    <w:multiLevelType w:val="hybridMultilevel"/>
    <w:tmpl w:val="C466338E"/>
    <w:lvl w:ilvl="0" w:tplc="4DEA7BB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6D"/>
    <w:rsid w:val="0000202F"/>
    <w:rsid w:val="00027A90"/>
    <w:rsid w:val="000579ED"/>
    <w:rsid w:val="00082305"/>
    <w:rsid w:val="00082D98"/>
    <w:rsid w:val="00095271"/>
    <w:rsid w:val="000A358F"/>
    <w:rsid w:val="000C10E1"/>
    <w:rsid w:val="00100E12"/>
    <w:rsid w:val="00101C70"/>
    <w:rsid w:val="00147BCD"/>
    <w:rsid w:val="00174B56"/>
    <w:rsid w:val="00181003"/>
    <w:rsid w:val="0018229F"/>
    <w:rsid w:val="001E193F"/>
    <w:rsid w:val="00260D0F"/>
    <w:rsid w:val="0026532F"/>
    <w:rsid w:val="00363053"/>
    <w:rsid w:val="003805CF"/>
    <w:rsid w:val="0048295F"/>
    <w:rsid w:val="004871BD"/>
    <w:rsid w:val="00497C2B"/>
    <w:rsid w:val="005375A1"/>
    <w:rsid w:val="005E3730"/>
    <w:rsid w:val="00621C7A"/>
    <w:rsid w:val="00643722"/>
    <w:rsid w:val="006F420D"/>
    <w:rsid w:val="00763DCE"/>
    <w:rsid w:val="00763E73"/>
    <w:rsid w:val="007E548C"/>
    <w:rsid w:val="007E685D"/>
    <w:rsid w:val="00823B84"/>
    <w:rsid w:val="00826A6D"/>
    <w:rsid w:val="008353D7"/>
    <w:rsid w:val="0085331D"/>
    <w:rsid w:val="00873352"/>
    <w:rsid w:val="009B5D0B"/>
    <w:rsid w:val="00A021A7"/>
    <w:rsid w:val="00A22119"/>
    <w:rsid w:val="00A91FF6"/>
    <w:rsid w:val="00AF6AB4"/>
    <w:rsid w:val="00B67788"/>
    <w:rsid w:val="00B700CF"/>
    <w:rsid w:val="00BA7EDC"/>
    <w:rsid w:val="00BC0A22"/>
    <w:rsid w:val="00BC5945"/>
    <w:rsid w:val="00C119B5"/>
    <w:rsid w:val="00C17203"/>
    <w:rsid w:val="00C315F2"/>
    <w:rsid w:val="00C40733"/>
    <w:rsid w:val="00C46CB9"/>
    <w:rsid w:val="00C70EA2"/>
    <w:rsid w:val="00CA6AA3"/>
    <w:rsid w:val="00D447F5"/>
    <w:rsid w:val="00D47626"/>
    <w:rsid w:val="00D55B22"/>
    <w:rsid w:val="00D6409C"/>
    <w:rsid w:val="00D66306"/>
    <w:rsid w:val="00E01190"/>
    <w:rsid w:val="00EA2E61"/>
    <w:rsid w:val="00EC1C5D"/>
    <w:rsid w:val="00F0470A"/>
    <w:rsid w:val="00F160E8"/>
    <w:rsid w:val="00F45FE9"/>
    <w:rsid w:val="00F602F2"/>
    <w:rsid w:val="00FB7937"/>
    <w:rsid w:val="00FE0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6B947-1920-494A-8BE5-7E441978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A6D"/>
    <w:pPr>
      <w:ind w:left="720"/>
      <w:contextualSpacing/>
    </w:pPr>
  </w:style>
  <w:style w:type="character" w:customStyle="1" w:styleId="rvts0">
    <w:name w:val="rvts0"/>
    <w:basedOn w:val="a0"/>
    <w:rsid w:val="00826A6D"/>
  </w:style>
  <w:style w:type="paragraph" w:styleId="a4">
    <w:name w:val="Plain Text"/>
    <w:basedOn w:val="a"/>
    <w:link w:val="a5"/>
    <w:rsid w:val="00FB79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5">
    <w:name w:val="Текст Знак"/>
    <w:basedOn w:val="a0"/>
    <w:link w:val="a4"/>
    <w:rsid w:val="00FB793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FB7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93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700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00CF"/>
  </w:style>
  <w:style w:type="paragraph" w:styleId="aa">
    <w:name w:val="footer"/>
    <w:basedOn w:val="a"/>
    <w:link w:val="ab"/>
    <w:uiPriority w:val="99"/>
    <w:semiHidden/>
    <w:unhideWhenUsed/>
    <w:rsid w:val="00B700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00CF"/>
  </w:style>
  <w:style w:type="paragraph" w:styleId="ac">
    <w:name w:val="Title"/>
    <w:basedOn w:val="a"/>
    <w:link w:val="ad"/>
    <w:qFormat/>
    <w:rsid w:val="00174B56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val="ru-RU" w:eastAsia="ru-RU"/>
    </w:rPr>
  </w:style>
  <w:style w:type="character" w:customStyle="1" w:styleId="ad">
    <w:name w:val="Название Знак"/>
    <w:basedOn w:val="a0"/>
    <w:link w:val="ac"/>
    <w:rsid w:val="00174B56"/>
    <w:rPr>
      <w:rFonts w:ascii="Calibri" w:eastAsia="Calibri" w:hAnsi="Calibri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BCF4-3D16-4701-BB1D-596B617C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2650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2017-09-20T08:32:00Z</cp:lastPrinted>
  <dcterms:created xsi:type="dcterms:W3CDTF">2017-10-05T13:07:00Z</dcterms:created>
  <dcterms:modified xsi:type="dcterms:W3CDTF">2017-10-05T13:07:00Z</dcterms:modified>
</cp:coreProperties>
</file>