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218" w:rsidRDefault="00866218" w:rsidP="00866218">
      <w:pPr>
        <w:jc w:val="center"/>
        <w:rPr>
          <w:b/>
          <w:sz w:val="28"/>
          <w:szCs w:val="28"/>
        </w:rPr>
      </w:pPr>
      <w:r w:rsidRPr="003B6ED7">
        <w:rPr>
          <w:b/>
          <w:sz w:val="28"/>
          <w:szCs w:val="28"/>
        </w:rPr>
        <w:t>Аналіз</w:t>
      </w:r>
    </w:p>
    <w:p w:rsidR="00866218" w:rsidRPr="003B6ED7" w:rsidRDefault="00866218" w:rsidP="00866218">
      <w:pPr>
        <w:jc w:val="center"/>
        <w:rPr>
          <w:b/>
          <w:sz w:val="28"/>
          <w:szCs w:val="28"/>
        </w:rPr>
      </w:pPr>
      <w:r w:rsidRPr="003B6ED7">
        <w:rPr>
          <w:b/>
          <w:sz w:val="28"/>
          <w:szCs w:val="28"/>
        </w:rPr>
        <w:t>регуляторного впливу</w:t>
      </w:r>
    </w:p>
    <w:p w:rsidR="00866218" w:rsidRDefault="00866218" w:rsidP="00866218">
      <w:pPr>
        <w:jc w:val="center"/>
        <w:rPr>
          <w:b/>
          <w:sz w:val="28"/>
          <w:szCs w:val="28"/>
        </w:rPr>
      </w:pPr>
      <w:r w:rsidRPr="003B6ED7">
        <w:rPr>
          <w:b/>
          <w:sz w:val="28"/>
          <w:szCs w:val="28"/>
        </w:rPr>
        <w:t xml:space="preserve">проекту рішення </w:t>
      </w:r>
      <w:r>
        <w:rPr>
          <w:b/>
          <w:sz w:val="28"/>
          <w:szCs w:val="28"/>
        </w:rPr>
        <w:t>виконавчого комітету міської ради</w:t>
      </w:r>
    </w:p>
    <w:p w:rsidR="00866218" w:rsidRDefault="00866218" w:rsidP="00866218">
      <w:pPr>
        <w:jc w:val="center"/>
        <w:rPr>
          <w:b/>
          <w:sz w:val="28"/>
          <w:szCs w:val="28"/>
        </w:rPr>
      </w:pPr>
      <w:r w:rsidRPr="003B6ED7">
        <w:rPr>
          <w:b/>
          <w:sz w:val="28"/>
          <w:szCs w:val="28"/>
        </w:rPr>
        <w:t xml:space="preserve"> «Про за</w:t>
      </w:r>
      <w:r>
        <w:rPr>
          <w:b/>
          <w:sz w:val="28"/>
          <w:szCs w:val="28"/>
        </w:rPr>
        <w:t>твердження Порядку розміщення</w:t>
      </w:r>
    </w:p>
    <w:p w:rsidR="00866218" w:rsidRPr="003B6ED7" w:rsidRDefault="00866218" w:rsidP="0086621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вивісок в м.</w:t>
      </w:r>
      <w:r w:rsidRPr="003B6ED7">
        <w:rPr>
          <w:b/>
          <w:sz w:val="28"/>
          <w:szCs w:val="28"/>
        </w:rPr>
        <w:t>Івано-Франківськ</w:t>
      </w:r>
      <w:r>
        <w:rPr>
          <w:b/>
          <w:sz w:val="28"/>
          <w:szCs w:val="28"/>
        </w:rPr>
        <w:t>у</w:t>
      </w:r>
      <w:r w:rsidRPr="003B6ED7">
        <w:rPr>
          <w:b/>
          <w:bCs/>
          <w:sz w:val="28"/>
          <w:szCs w:val="28"/>
        </w:rPr>
        <w:t>»</w:t>
      </w:r>
    </w:p>
    <w:p w:rsidR="00E77A44" w:rsidRPr="003B6ED7" w:rsidRDefault="00E77A44" w:rsidP="00E77A44">
      <w:pPr>
        <w:rPr>
          <w:sz w:val="28"/>
          <w:szCs w:val="28"/>
        </w:rPr>
      </w:pPr>
    </w:p>
    <w:p w:rsidR="00E77A44" w:rsidRDefault="004D6585" w:rsidP="004D6585">
      <w:pPr>
        <w:pStyle w:val="rvps12"/>
        <w:shd w:val="clear" w:color="auto" w:fill="FFFFFF"/>
        <w:spacing w:before="0" w:beforeAutospacing="0" w:after="0" w:afterAutospacing="0"/>
        <w:ind w:left="426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0" w:name="n89"/>
      <w:bookmarkEnd w:id="0"/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E77A44" w:rsidRPr="00061223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. Визначення проблеми</w:t>
      </w:r>
      <w:r w:rsidR="002C2A37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91592E" w:rsidRDefault="009D3421" w:rsidP="0091592E">
      <w:pPr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Відповідно даних річного звіту управління економіки та інтеграційного розвитку виконавчого комітету міської ради, в місті функціонує 2674 торгових закладів, в тому числі, підприємств ресторанного господарства та підприємств побуту. З квітня по грудень 2016р. у зв’язку зі створенням відділу та сектору нагляду муніципальної інспекції</w:t>
      </w:r>
      <w:r w:rsidR="0091592E" w:rsidRPr="00921B42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з благоустрою</w:t>
      </w:r>
      <w:r w:rsidR="00C12100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на</w:t>
      </w:r>
      <w:r w:rsidR="00C12100">
        <w:rPr>
          <w:color w:val="333333"/>
          <w:sz w:val="28"/>
          <w:szCs w:val="28"/>
        </w:rPr>
        <w:t>кладено 51</w:t>
      </w:r>
      <w:r w:rsidR="00C762F2">
        <w:rPr>
          <w:color w:val="333333"/>
          <w:sz w:val="28"/>
          <w:szCs w:val="28"/>
        </w:rPr>
        <w:t xml:space="preserve"> </w:t>
      </w:r>
      <w:r w:rsidR="00C12100">
        <w:rPr>
          <w:color w:val="333333"/>
          <w:sz w:val="28"/>
          <w:szCs w:val="28"/>
        </w:rPr>
        <w:t>адміністративне стягнення на суму біля 57 тис.грн. за порушення існуючого Порядку встановлення вивісок в м. Івано-Франківську. На 01.11.2016р. в реєстрі вивісок</w:t>
      </w:r>
      <w:r w:rsidR="00C762F2">
        <w:rPr>
          <w:color w:val="333333"/>
          <w:sz w:val="28"/>
          <w:szCs w:val="28"/>
        </w:rPr>
        <w:t xml:space="preserve"> м.</w:t>
      </w:r>
      <w:r w:rsidR="00C12100">
        <w:rPr>
          <w:color w:val="333333"/>
          <w:sz w:val="28"/>
          <w:szCs w:val="28"/>
        </w:rPr>
        <w:t xml:space="preserve">Івано-Франківська </w:t>
      </w:r>
      <w:r w:rsidR="00C762F2">
        <w:rPr>
          <w:color w:val="333333"/>
          <w:sz w:val="28"/>
          <w:szCs w:val="28"/>
        </w:rPr>
        <w:t>Департаментом містобудування, архітектури та культурної спадщини міської ради зареєстровано тільки 346 паспортів вивісок</w:t>
      </w:r>
      <w:r w:rsidR="00964F66">
        <w:rPr>
          <w:color w:val="333333"/>
          <w:sz w:val="28"/>
          <w:szCs w:val="28"/>
        </w:rPr>
        <w:t>.</w:t>
      </w:r>
    </w:p>
    <w:p w:rsidR="00964F66" w:rsidRDefault="00964F66" w:rsidP="00964F66">
      <w:pPr>
        <w:tabs>
          <w:tab w:val="left" w:pos="9639"/>
        </w:tabs>
        <w:ind w:firstLine="567"/>
        <w:jc w:val="both"/>
        <w:rPr>
          <w:color w:val="333333"/>
          <w:sz w:val="28"/>
          <w:szCs w:val="28"/>
        </w:rPr>
      </w:pPr>
      <w:r w:rsidRPr="00921B42">
        <w:rPr>
          <w:color w:val="333333"/>
          <w:sz w:val="28"/>
          <w:szCs w:val="28"/>
        </w:rPr>
        <w:t>Ключовою проблемою у даній галузі є відсутність чітк</w:t>
      </w:r>
      <w:r>
        <w:rPr>
          <w:color w:val="333333"/>
          <w:sz w:val="28"/>
          <w:szCs w:val="28"/>
        </w:rPr>
        <w:t>их</w:t>
      </w:r>
      <w:r w:rsidRPr="00921B42">
        <w:rPr>
          <w:color w:val="333333"/>
          <w:sz w:val="28"/>
          <w:szCs w:val="28"/>
        </w:rPr>
        <w:t xml:space="preserve"> правил місць для встановлення вивісок</w:t>
      </w:r>
      <w:r>
        <w:rPr>
          <w:color w:val="333333"/>
          <w:sz w:val="28"/>
          <w:szCs w:val="28"/>
        </w:rPr>
        <w:t xml:space="preserve">, </w:t>
      </w:r>
      <w:r w:rsidRPr="00921B42">
        <w:rPr>
          <w:color w:val="333333"/>
          <w:sz w:val="28"/>
          <w:szCs w:val="28"/>
        </w:rPr>
        <w:t>вимоги щодо оформлення,</w:t>
      </w:r>
      <w:r>
        <w:rPr>
          <w:color w:val="333333"/>
          <w:sz w:val="28"/>
          <w:szCs w:val="28"/>
        </w:rPr>
        <w:t xml:space="preserve"> розмірів, </w:t>
      </w:r>
      <w:r w:rsidRPr="00921B42">
        <w:rPr>
          <w:color w:val="333333"/>
          <w:sz w:val="28"/>
          <w:szCs w:val="28"/>
        </w:rPr>
        <w:t>матеріалів виготовлення, особливі встановлення вивісок</w:t>
      </w:r>
      <w:r>
        <w:rPr>
          <w:color w:val="333333"/>
          <w:sz w:val="28"/>
          <w:szCs w:val="28"/>
        </w:rPr>
        <w:t>.</w:t>
      </w:r>
    </w:p>
    <w:p w:rsidR="00964F66" w:rsidRDefault="00964F66" w:rsidP="00964F66">
      <w:pPr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За </w:t>
      </w:r>
      <w:r w:rsidRPr="00921B42">
        <w:rPr>
          <w:color w:val="333333"/>
          <w:sz w:val="28"/>
          <w:szCs w:val="28"/>
        </w:rPr>
        <w:t xml:space="preserve">відсутності </w:t>
      </w:r>
      <w:r w:rsidR="00210E98">
        <w:rPr>
          <w:color w:val="333333"/>
          <w:sz w:val="28"/>
          <w:szCs w:val="28"/>
        </w:rPr>
        <w:t>Порядку</w:t>
      </w:r>
      <w:r w:rsidRPr="00921B42">
        <w:rPr>
          <w:color w:val="333333"/>
          <w:sz w:val="28"/>
          <w:szCs w:val="28"/>
        </w:rPr>
        <w:t xml:space="preserve"> розміщення вивісок, будівлі міста перенасичені хаотично розміщеними вивісками. </w:t>
      </w:r>
      <w:r w:rsidR="00210E98">
        <w:rPr>
          <w:color w:val="333333"/>
          <w:sz w:val="28"/>
          <w:szCs w:val="28"/>
        </w:rPr>
        <w:t>Їх б</w:t>
      </w:r>
      <w:r w:rsidRPr="00921B42">
        <w:rPr>
          <w:color w:val="333333"/>
          <w:sz w:val="28"/>
          <w:szCs w:val="28"/>
        </w:rPr>
        <w:t xml:space="preserve">езсистемне розміщення призводить до пошкоджень та руйнації фасадів будівель, спотворення історичного середовища міста, зниження туристичної привабливості </w:t>
      </w:r>
      <w:r>
        <w:rPr>
          <w:color w:val="333333"/>
          <w:sz w:val="28"/>
          <w:szCs w:val="28"/>
        </w:rPr>
        <w:t>Івано-Франківська</w:t>
      </w:r>
      <w:r w:rsidRPr="00921B42">
        <w:rPr>
          <w:color w:val="333333"/>
          <w:sz w:val="28"/>
          <w:szCs w:val="28"/>
        </w:rPr>
        <w:t>.</w:t>
      </w:r>
    </w:p>
    <w:p w:rsidR="008D078B" w:rsidRDefault="008D078B" w:rsidP="002C2A37">
      <w:pPr>
        <w:pStyle w:val="rvps12"/>
        <w:shd w:val="clear" w:color="auto" w:fill="FFFFFF"/>
        <w:spacing w:before="0" w:beforeAutospacing="0" w:after="0" w:afterAutospacing="0"/>
        <w:ind w:left="426"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Дана проблема справляє вплив на всі групи, а саме:</w:t>
      </w:r>
    </w:p>
    <w:p w:rsidR="00771A5D" w:rsidRDefault="00771A5D" w:rsidP="00771A5D">
      <w:pPr>
        <w:rPr>
          <w:sz w:val="16"/>
          <w:szCs w:val="28"/>
        </w:rPr>
      </w:pPr>
    </w:p>
    <w:tbl>
      <w:tblPr>
        <w:tblW w:w="9125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1"/>
        <w:gridCol w:w="4536"/>
        <w:gridCol w:w="2968"/>
      </w:tblGrid>
      <w:tr w:rsidR="00771A5D" w:rsidTr="007772E0">
        <w:tc>
          <w:tcPr>
            <w:tcW w:w="1621" w:type="dxa"/>
          </w:tcPr>
          <w:p w:rsidR="00771A5D" w:rsidRPr="009C3F9A" w:rsidRDefault="00771A5D" w:rsidP="00D34CA9">
            <w:pPr>
              <w:jc w:val="center"/>
              <w:rPr>
                <w:bCs/>
                <w:iCs/>
                <w:szCs w:val="28"/>
              </w:rPr>
            </w:pPr>
            <w:r w:rsidRPr="009C3F9A">
              <w:t>Групи (підгрупи)</w:t>
            </w:r>
          </w:p>
          <w:p w:rsidR="00771A5D" w:rsidRPr="009C3F9A" w:rsidRDefault="00771A5D" w:rsidP="00D34CA9">
            <w:pPr>
              <w:jc w:val="center"/>
              <w:rPr>
                <w:bCs/>
                <w:iCs/>
                <w:szCs w:val="28"/>
              </w:rPr>
            </w:pPr>
          </w:p>
        </w:tc>
        <w:tc>
          <w:tcPr>
            <w:tcW w:w="4536" w:type="dxa"/>
          </w:tcPr>
          <w:p w:rsidR="009C3F9A" w:rsidRPr="009C3F9A" w:rsidRDefault="009C3F9A" w:rsidP="00771A5D">
            <w:pPr>
              <w:jc w:val="center"/>
            </w:pPr>
          </w:p>
          <w:p w:rsidR="00771A5D" w:rsidRPr="009C3F9A" w:rsidRDefault="00771A5D" w:rsidP="00771A5D">
            <w:pPr>
              <w:jc w:val="center"/>
              <w:rPr>
                <w:bCs/>
                <w:iCs/>
                <w:szCs w:val="28"/>
              </w:rPr>
            </w:pPr>
            <w:r w:rsidRPr="009C3F9A">
              <w:t>Так</w:t>
            </w:r>
            <w:r w:rsidRPr="009C3F9A">
              <w:rPr>
                <w:bCs/>
                <w:iCs/>
                <w:szCs w:val="28"/>
              </w:rPr>
              <w:t xml:space="preserve"> </w:t>
            </w:r>
          </w:p>
        </w:tc>
        <w:tc>
          <w:tcPr>
            <w:tcW w:w="2968" w:type="dxa"/>
          </w:tcPr>
          <w:p w:rsidR="009C3F9A" w:rsidRPr="009C3F9A" w:rsidRDefault="009C3F9A" w:rsidP="00771A5D">
            <w:pPr>
              <w:jc w:val="center"/>
            </w:pPr>
          </w:p>
          <w:p w:rsidR="00771A5D" w:rsidRPr="009C3F9A" w:rsidRDefault="00771A5D" w:rsidP="00771A5D">
            <w:pPr>
              <w:jc w:val="center"/>
              <w:rPr>
                <w:bCs/>
                <w:iCs/>
                <w:szCs w:val="28"/>
              </w:rPr>
            </w:pPr>
            <w:r w:rsidRPr="009C3F9A">
              <w:t>Ні</w:t>
            </w:r>
            <w:r w:rsidRPr="009C3F9A">
              <w:rPr>
                <w:bCs/>
                <w:iCs/>
                <w:szCs w:val="28"/>
              </w:rPr>
              <w:t xml:space="preserve"> </w:t>
            </w:r>
          </w:p>
        </w:tc>
      </w:tr>
      <w:tr w:rsidR="00771A5D" w:rsidTr="007772E0">
        <w:tc>
          <w:tcPr>
            <w:tcW w:w="1621" w:type="dxa"/>
            <w:vAlign w:val="center"/>
          </w:tcPr>
          <w:p w:rsidR="00771A5D" w:rsidRDefault="00771A5D" w:rsidP="00771A5D">
            <w:r>
              <w:t>Громадяни</w:t>
            </w:r>
            <w:r w:rsidRPr="004B751A">
              <w:t xml:space="preserve"> </w:t>
            </w:r>
          </w:p>
        </w:tc>
        <w:tc>
          <w:tcPr>
            <w:tcW w:w="4536" w:type="dxa"/>
            <w:vAlign w:val="center"/>
          </w:tcPr>
          <w:p w:rsidR="00771A5D" w:rsidRPr="00866218" w:rsidRDefault="00441273" w:rsidP="00866218">
            <w:pPr>
              <w:ind w:right="33"/>
              <w:jc w:val="both"/>
            </w:pPr>
            <w:r w:rsidRPr="00866218">
              <w:t xml:space="preserve">Перенасиченість </w:t>
            </w:r>
            <w:r w:rsidR="00866218" w:rsidRPr="00866218">
              <w:rPr>
                <w:color w:val="333333"/>
              </w:rPr>
              <w:t>хаотично розміщеними вивісками</w:t>
            </w:r>
            <w:r w:rsidR="00866218" w:rsidRPr="00866218">
              <w:t xml:space="preserve"> </w:t>
            </w:r>
            <w:r w:rsidRPr="00866218">
              <w:t>громадського простору</w:t>
            </w:r>
            <w:r w:rsidR="006C0DA6">
              <w:t>,</w:t>
            </w:r>
            <w:r w:rsidRPr="00866218">
              <w:t xml:space="preserve"> </w:t>
            </w:r>
            <w:r w:rsidR="00866218" w:rsidRPr="00866218">
              <w:rPr>
                <w:color w:val="333333"/>
              </w:rPr>
              <w:t>спотворення історичного середовища міста, зниження туристичної привабливості Івано-Франківська.</w:t>
            </w:r>
          </w:p>
        </w:tc>
        <w:tc>
          <w:tcPr>
            <w:tcW w:w="2968" w:type="dxa"/>
            <w:vAlign w:val="center"/>
          </w:tcPr>
          <w:p w:rsidR="00771A5D" w:rsidRPr="00C43D22" w:rsidRDefault="00771A5D" w:rsidP="00D34CA9">
            <w:pPr>
              <w:jc w:val="both"/>
            </w:pPr>
          </w:p>
        </w:tc>
      </w:tr>
      <w:tr w:rsidR="00771A5D" w:rsidTr="007772E0">
        <w:tblPrEx>
          <w:tblLook w:val="0000"/>
        </w:tblPrEx>
        <w:trPr>
          <w:trHeight w:val="167"/>
        </w:trPr>
        <w:tc>
          <w:tcPr>
            <w:tcW w:w="1621" w:type="dxa"/>
            <w:vAlign w:val="center"/>
          </w:tcPr>
          <w:p w:rsidR="00FA3374" w:rsidRDefault="00FA3374" w:rsidP="00FA3374">
            <w:r>
              <w:t>Держава</w:t>
            </w:r>
            <w:r w:rsidRPr="004B751A">
              <w:t xml:space="preserve"> </w:t>
            </w:r>
            <w:r w:rsidR="00C95C56">
              <w:t>, міська влада</w:t>
            </w:r>
          </w:p>
          <w:p w:rsidR="00771A5D" w:rsidRDefault="00771A5D" w:rsidP="00D34CA9"/>
        </w:tc>
        <w:tc>
          <w:tcPr>
            <w:tcW w:w="4536" w:type="dxa"/>
            <w:vAlign w:val="center"/>
          </w:tcPr>
          <w:p w:rsidR="006C0DA6" w:rsidRPr="006C0DA6" w:rsidRDefault="006C0DA6" w:rsidP="006C0DA6">
            <w:pPr>
              <w:tabs>
                <w:tab w:val="left" w:pos="9639"/>
              </w:tabs>
              <w:ind w:firstLine="108"/>
              <w:jc w:val="both"/>
              <w:rPr>
                <w:color w:val="333333"/>
              </w:rPr>
            </w:pPr>
            <w:r w:rsidRPr="006C0DA6">
              <w:t xml:space="preserve">Затвердження </w:t>
            </w:r>
            <w:r w:rsidRPr="006C0DA6">
              <w:rPr>
                <w:color w:val="333333"/>
              </w:rPr>
              <w:t>чітких правил вибору місць</w:t>
            </w:r>
          </w:p>
          <w:p w:rsidR="00771A5D" w:rsidRDefault="006C0DA6" w:rsidP="006C0DA6">
            <w:pPr>
              <w:tabs>
                <w:tab w:val="left" w:pos="9639"/>
              </w:tabs>
              <w:jc w:val="both"/>
            </w:pPr>
            <w:r w:rsidRPr="006C0DA6">
              <w:rPr>
                <w:color w:val="333333"/>
              </w:rPr>
              <w:t>для встановлення вивісок суб’єктів господарювання, колористичного вирішення вивісок), вимог до їх оформлення, розмірів, матеріалів виготовлення, особливі вимоги щодо встановлення вивісок у межах історико-архітектурної охоронної зони м.Івано-Франківська, на пам’ятках культурної спадщини та в межах їх охоронних зон.</w:t>
            </w:r>
          </w:p>
        </w:tc>
        <w:tc>
          <w:tcPr>
            <w:tcW w:w="2968" w:type="dxa"/>
            <w:vAlign w:val="center"/>
          </w:tcPr>
          <w:p w:rsidR="00771A5D" w:rsidRPr="00C43D22" w:rsidRDefault="00771A5D" w:rsidP="00D34CA9"/>
        </w:tc>
      </w:tr>
      <w:tr w:rsidR="00771A5D" w:rsidTr="007772E0">
        <w:tblPrEx>
          <w:tblLook w:val="0000"/>
        </w:tblPrEx>
        <w:trPr>
          <w:trHeight w:val="231"/>
        </w:trPr>
        <w:tc>
          <w:tcPr>
            <w:tcW w:w="1621" w:type="dxa"/>
            <w:vAlign w:val="center"/>
          </w:tcPr>
          <w:p w:rsidR="00FA3374" w:rsidRPr="004B751A" w:rsidRDefault="00FA3374" w:rsidP="00FA3374">
            <w:r w:rsidRPr="004B751A">
              <w:t>Суб’єкти</w:t>
            </w:r>
          </w:p>
          <w:p w:rsidR="00771A5D" w:rsidRDefault="00FA3374" w:rsidP="00FA3374">
            <w:r>
              <w:t>господарювання</w:t>
            </w:r>
          </w:p>
        </w:tc>
        <w:tc>
          <w:tcPr>
            <w:tcW w:w="4536" w:type="dxa"/>
            <w:vAlign w:val="center"/>
          </w:tcPr>
          <w:p w:rsidR="00C762F2" w:rsidRDefault="00C762F2" w:rsidP="006C0DA6">
            <w:pPr>
              <w:tabs>
                <w:tab w:val="left" w:pos="9639"/>
              </w:tabs>
              <w:ind w:firstLine="108"/>
              <w:jc w:val="both"/>
              <w:rPr>
                <w:color w:val="333333"/>
              </w:rPr>
            </w:pPr>
            <w:r>
              <w:rPr>
                <w:color w:val="333333"/>
              </w:rPr>
              <w:t>Виготовлення дозвільної документації на встановлення вивісок.</w:t>
            </w:r>
          </w:p>
          <w:p w:rsidR="00C762F2" w:rsidRDefault="00C762F2" w:rsidP="00C762F2">
            <w:pPr>
              <w:tabs>
                <w:tab w:val="left" w:pos="9639"/>
              </w:tabs>
              <w:ind w:firstLine="108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Дотримання вимог Порядку розміщення </w:t>
            </w:r>
            <w:r w:rsidRPr="006C0DA6">
              <w:rPr>
                <w:color w:val="333333"/>
              </w:rPr>
              <w:t>вивісок</w:t>
            </w:r>
            <w:r>
              <w:rPr>
                <w:color w:val="333333"/>
              </w:rPr>
              <w:t>.</w:t>
            </w:r>
          </w:p>
          <w:p w:rsidR="00771A5D" w:rsidRPr="00711BF6" w:rsidRDefault="00C762F2" w:rsidP="002848C4">
            <w:pPr>
              <w:tabs>
                <w:tab w:val="left" w:pos="9639"/>
              </w:tabs>
              <w:ind w:firstLine="108"/>
              <w:jc w:val="both"/>
            </w:pPr>
            <w:r>
              <w:t>Перепогодження паспортів вивісок, які були затверджені</w:t>
            </w:r>
            <w:r w:rsidRPr="00A16DF8">
              <w:t xml:space="preserve">і з 2011 року до часу </w:t>
            </w:r>
            <w:r w:rsidRPr="00A16DF8">
              <w:lastRenderedPageBreak/>
              <w:t xml:space="preserve">прийняття цього рішення, </w:t>
            </w:r>
            <w:r>
              <w:t>у випадку невідповідності до вимог цього Порядку.</w:t>
            </w:r>
            <w:r w:rsidR="00875CC6">
              <w:t>.</w:t>
            </w:r>
          </w:p>
        </w:tc>
        <w:tc>
          <w:tcPr>
            <w:tcW w:w="2968" w:type="dxa"/>
            <w:vAlign w:val="center"/>
          </w:tcPr>
          <w:p w:rsidR="00771A5D" w:rsidRPr="00A16DF8" w:rsidRDefault="00771A5D" w:rsidP="000973A4">
            <w:pPr>
              <w:jc w:val="both"/>
            </w:pPr>
          </w:p>
        </w:tc>
      </w:tr>
    </w:tbl>
    <w:p w:rsidR="00771A5D" w:rsidRPr="000F5E1F" w:rsidRDefault="00875CC6" w:rsidP="00875CC6">
      <w:pPr>
        <w:ind w:firstLine="993"/>
        <w:jc w:val="both"/>
        <w:rPr>
          <w:sz w:val="28"/>
          <w:szCs w:val="28"/>
        </w:rPr>
      </w:pPr>
      <w:r w:rsidRPr="00875CC6">
        <w:rPr>
          <w:sz w:val="28"/>
          <w:szCs w:val="28"/>
        </w:rPr>
        <w:lastRenderedPageBreak/>
        <w:t xml:space="preserve">Проблема </w:t>
      </w:r>
      <w:r w:rsidR="000F5E1F" w:rsidRPr="000F5E1F">
        <w:rPr>
          <w:color w:val="000000"/>
          <w:sz w:val="28"/>
          <w:szCs w:val="28"/>
        </w:rPr>
        <w:t>не може бути розв’язана за допомогою ринкових механізмів</w:t>
      </w:r>
    </w:p>
    <w:p w:rsidR="001339F0" w:rsidRPr="006C3B86" w:rsidRDefault="001339F0" w:rsidP="001339F0">
      <w:pPr>
        <w:pStyle w:val="rvps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sz w:val="20"/>
          <w:szCs w:val="20"/>
        </w:rPr>
      </w:pPr>
      <w:bookmarkStart w:id="1" w:name="n90"/>
      <w:bookmarkEnd w:id="1"/>
    </w:p>
    <w:p w:rsidR="00E77A44" w:rsidRPr="006C3B86" w:rsidRDefault="00E77A44" w:rsidP="004D6585">
      <w:pPr>
        <w:pStyle w:val="rvps12"/>
        <w:shd w:val="clear" w:color="auto" w:fill="FFFFFF"/>
        <w:spacing w:before="0" w:beforeAutospacing="0" w:after="0" w:afterAutospacing="0"/>
        <w:ind w:left="786" w:firstLine="207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bookmarkStart w:id="2" w:name="n95"/>
      <w:bookmarkStart w:id="3" w:name="n99"/>
      <w:bookmarkEnd w:id="2"/>
      <w:bookmarkEnd w:id="3"/>
      <w:r w:rsidRPr="006C3B86">
        <w:rPr>
          <w:rStyle w:val="rvts15"/>
          <w:b/>
          <w:bCs/>
          <w:sz w:val="28"/>
          <w:szCs w:val="28"/>
          <w:bdr w:val="none" w:sz="0" w:space="0" w:color="auto" w:frame="1"/>
        </w:rPr>
        <w:t>II. Цілі державного регулювання</w:t>
      </w:r>
      <w:r w:rsidR="004D6585" w:rsidRPr="006C3B86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7772E0" w:rsidRPr="00D321F7" w:rsidRDefault="007772E0" w:rsidP="004D6585">
      <w:pPr>
        <w:pStyle w:val="rvps12"/>
        <w:shd w:val="clear" w:color="auto" w:fill="FFFFFF"/>
        <w:spacing w:before="0" w:beforeAutospacing="0" w:after="0" w:afterAutospacing="0"/>
        <w:ind w:left="786" w:firstLine="207"/>
        <w:jc w:val="center"/>
        <w:textAlignment w:val="baseline"/>
        <w:rPr>
          <w:rStyle w:val="rvts15"/>
          <w:color w:val="FF0000"/>
          <w:sz w:val="20"/>
          <w:szCs w:val="20"/>
          <w:lang w:val="uk-UA"/>
        </w:rPr>
      </w:pPr>
    </w:p>
    <w:p w:rsidR="00245BE3" w:rsidRPr="00921B42" w:rsidRDefault="00245BE3" w:rsidP="00CB7038">
      <w:pPr>
        <w:ind w:firstLine="567"/>
        <w:jc w:val="both"/>
        <w:rPr>
          <w:color w:val="333333"/>
          <w:sz w:val="28"/>
          <w:szCs w:val="28"/>
        </w:rPr>
      </w:pPr>
      <w:r w:rsidRPr="00921B42">
        <w:rPr>
          <w:color w:val="333333"/>
          <w:sz w:val="28"/>
          <w:szCs w:val="28"/>
        </w:rPr>
        <w:t>Метою прийняття даного порядку є реєстрація паспортів вивісок у м.</w:t>
      </w:r>
      <w:r>
        <w:rPr>
          <w:color w:val="333333"/>
          <w:sz w:val="28"/>
          <w:szCs w:val="28"/>
        </w:rPr>
        <w:t>Івано-Франківську</w:t>
      </w:r>
      <w:r w:rsidRPr="00921B42">
        <w:rPr>
          <w:color w:val="333333"/>
          <w:sz w:val="28"/>
          <w:szCs w:val="28"/>
        </w:rPr>
        <w:t>, а також ведення єдиного реєстру вивісок, розміщених на фасадах будівель та безпосередньо порядку розміщення вивісок підприємствами, установами, організаціями, господарськими товариствами та фізичними особами.</w:t>
      </w:r>
    </w:p>
    <w:p w:rsidR="00245BE3" w:rsidRPr="00921B42" w:rsidRDefault="00245BE3" w:rsidP="00CB7038">
      <w:pPr>
        <w:ind w:firstLine="567"/>
        <w:jc w:val="both"/>
        <w:rPr>
          <w:color w:val="333333"/>
          <w:sz w:val="28"/>
          <w:szCs w:val="28"/>
        </w:rPr>
      </w:pPr>
      <w:r w:rsidRPr="00921B42">
        <w:rPr>
          <w:color w:val="333333"/>
          <w:sz w:val="28"/>
          <w:szCs w:val="28"/>
        </w:rPr>
        <w:t>Рішення має на меті встановити чіткий і прозорий механізм розміщення вивісок на фасадах будівель</w:t>
      </w:r>
      <w:r w:rsidR="002848C4">
        <w:rPr>
          <w:color w:val="333333"/>
          <w:sz w:val="28"/>
          <w:szCs w:val="28"/>
        </w:rPr>
        <w:t>.</w:t>
      </w:r>
      <w:r w:rsidRPr="00921B42">
        <w:rPr>
          <w:color w:val="333333"/>
          <w:sz w:val="28"/>
          <w:szCs w:val="28"/>
        </w:rPr>
        <w:t xml:space="preserve"> Цей </w:t>
      </w:r>
      <w:r>
        <w:rPr>
          <w:color w:val="333333"/>
          <w:sz w:val="28"/>
          <w:szCs w:val="28"/>
        </w:rPr>
        <w:t>П</w:t>
      </w:r>
      <w:r w:rsidRPr="00921B42">
        <w:rPr>
          <w:color w:val="333333"/>
          <w:sz w:val="28"/>
          <w:szCs w:val="28"/>
        </w:rPr>
        <w:t>орядок поширюватиметься на всіх суб’єктів</w:t>
      </w:r>
      <w:r w:rsidR="002848C4">
        <w:rPr>
          <w:color w:val="333333"/>
          <w:sz w:val="28"/>
          <w:szCs w:val="28"/>
        </w:rPr>
        <w:t xml:space="preserve"> господарювання</w:t>
      </w:r>
      <w:r w:rsidRPr="00921B42">
        <w:rPr>
          <w:color w:val="333333"/>
          <w:sz w:val="28"/>
          <w:szCs w:val="28"/>
        </w:rPr>
        <w:t xml:space="preserve">, що розміщують вивіски у м. </w:t>
      </w:r>
      <w:r>
        <w:rPr>
          <w:color w:val="333333"/>
          <w:sz w:val="28"/>
          <w:szCs w:val="28"/>
        </w:rPr>
        <w:t>Івано-Франківську</w:t>
      </w:r>
      <w:r w:rsidRPr="00921B42">
        <w:rPr>
          <w:color w:val="333333"/>
          <w:sz w:val="28"/>
          <w:szCs w:val="28"/>
        </w:rPr>
        <w:t>.</w:t>
      </w:r>
    </w:p>
    <w:p w:rsidR="003E10EA" w:rsidRPr="00061223" w:rsidRDefault="003E10EA" w:rsidP="00CB7038">
      <w:pPr>
        <w:pStyle w:val="rvps12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color w:val="FF0000"/>
          <w:sz w:val="20"/>
          <w:szCs w:val="20"/>
          <w:lang w:val="uk-UA"/>
        </w:rPr>
      </w:pPr>
    </w:p>
    <w:p w:rsidR="00E77A44" w:rsidRPr="006C3B86" w:rsidRDefault="00E77A44" w:rsidP="00C060B6">
      <w:pPr>
        <w:pStyle w:val="rvps12"/>
        <w:shd w:val="clear" w:color="auto" w:fill="FFFFFF"/>
        <w:spacing w:before="0" w:beforeAutospacing="0" w:after="0" w:afterAutospacing="0"/>
        <w:ind w:left="786"/>
        <w:jc w:val="center"/>
        <w:textAlignment w:val="baseline"/>
        <w:rPr>
          <w:rStyle w:val="rvts15"/>
          <w:sz w:val="20"/>
          <w:szCs w:val="20"/>
        </w:rPr>
      </w:pPr>
      <w:bookmarkStart w:id="4" w:name="n100"/>
      <w:bookmarkStart w:id="5" w:name="n101"/>
      <w:bookmarkEnd w:id="4"/>
      <w:bookmarkEnd w:id="5"/>
      <w:r w:rsidRPr="006C3B86">
        <w:rPr>
          <w:rStyle w:val="rvts15"/>
          <w:b/>
          <w:bCs/>
          <w:sz w:val="28"/>
          <w:szCs w:val="28"/>
          <w:bdr w:val="none" w:sz="0" w:space="0" w:color="auto" w:frame="1"/>
        </w:rPr>
        <w:t>III. Визначення та оцінка альтернативних способів досягнення цілей</w:t>
      </w:r>
      <w:r w:rsidR="004D6585" w:rsidRPr="006C3B86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>.</w:t>
      </w:r>
    </w:p>
    <w:p w:rsidR="008F2A63" w:rsidRPr="00921B42" w:rsidRDefault="008F2A63" w:rsidP="008F2A63">
      <w:pPr>
        <w:ind w:firstLine="993"/>
        <w:jc w:val="both"/>
        <w:rPr>
          <w:color w:val="333333"/>
          <w:sz w:val="28"/>
          <w:szCs w:val="28"/>
        </w:rPr>
      </w:pPr>
      <w:r w:rsidRPr="00921B42">
        <w:rPr>
          <w:color w:val="333333"/>
          <w:sz w:val="28"/>
          <w:szCs w:val="28"/>
        </w:rPr>
        <w:t>Альтернативними способами досягнення зазначених цілей є</w:t>
      </w:r>
      <w:r>
        <w:rPr>
          <w:color w:val="333333"/>
          <w:sz w:val="28"/>
          <w:szCs w:val="28"/>
        </w:rPr>
        <w:t xml:space="preserve"> </w:t>
      </w:r>
      <w:r w:rsidRPr="00921B42">
        <w:rPr>
          <w:color w:val="333333"/>
          <w:sz w:val="28"/>
          <w:szCs w:val="28"/>
        </w:rPr>
        <w:t>залишення існуючої ситуації без змін</w:t>
      </w:r>
      <w:r>
        <w:rPr>
          <w:color w:val="333333"/>
          <w:sz w:val="28"/>
          <w:szCs w:val="28"/>
        </w:rPr>
        <w:t xml:space="preserve"> або </w:t>
      </w:r>
      <w:r w:rsidRPr="00921B42">
        <w:rPr>
          <w:color w:val="333333"/>
          <w:sz w:val="28"/>
          <w:szCs w:val="28"/>
        </w:rPr>
        <w:t xml:space="preserve">прийняття запропонованого проекту </w:t>
      </w:r>
      <w:r>
        <w:rPr>
          <w:color w:val="333333"/>
          <w:sz w:val="28"/>
          <w:szCs w:val="28"/>
        </w:rPr>
        <w:t>П</w:t>
      </w:r>
      <w:r w:rsidRPr="00921B42">
        <w:rPr>
          <w:color w:val="333333"/>
          <w:sz w:val="28"/>
          <w:szCs w:val="28"/>
        </w:rPr>
        <w:t>орядку.</w:t>
      </w:r>
    </w:p>
    <w:p w:rsidR="00C85E6B" w:rsidRPr="00D321F7" w:rsidRDefault="00C85E6B" w:rsidP="00C85E6B">
      <w:pPr>
        <w:pStyle w:val="rvps1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Style w:val="rvts15"/>
          <w:color w:val="FF0000"/>
          <w:sz w:val="20"/>
          <w:szCs w:val="20"/>
        </w:rPr>
      </w:pPr>
    </w:p>
    <w:p w:rsidR="002B5E36" w:rsidRPr="00D321F7" w:rsidRDefault="002B5E36" w:rsidP="002B5E3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  <w:lang w:val="uk-UA"/>
        </w:rPr>
      </w:pPr>
      <w:bookmarkStart w:id="6" w:name="n102"/>
      <w:bookmarkEnd w:id="6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7512"/>
      </w:tblGrid>
      <w:tr w:rsidR="002B5E36" w:rsidRPr="00D321F7" w:rsidTr="002B5E36">
        <w:tc>
          <w:tcPr>
            <w:tcW w:w="2235" w:type="dxa"/>
          </w:tcPr>
          <w:p w:rsidR="00564EF2" w:rsidRPr="009C3F9A" w:rsidRDefault="002B5E36" w:rsidP="002B5E36">
            <w:pPr>
              <w:ind w:right="-142"/>
              <w:jc w:val="center"/>
            </w:pPr>
            <w:r w:rsidRPr="009C3F9A">
              <w:t xml:space="preserve">Вид </w:t>
            </w:r>
          </w:p>
          <w:p w:rsidR="002B5E36" w:rsidRPr="009C3F9A" w:rsidRDefault="002B5E36" w:rsidP="002B5E36">
            <w:pPr>
              <w:ind w:right="-142"/>
              <w:jc w:val="center"/>
              <w:rPr>
                <w:bCs/>
                <w:i/>
                <w:iCs/>
              </w:rPr>
            </w:pPr>
            <w:r w:rsidRPr="009C3F9A">
              <w:t>альтернативи</w:t>
            </w:r>
            <w:r w:rsidRPr="009C3F9A">
              <w:rPr>
                <w:bCs/>
                <w:i/>
                <w:iCs/>
              </w:rPr>
              <w:t xml:space="preserve"> </w:t>
            </w:r>
          </w:p>
        </w:tc>
        <w:tc>
          <w:tcPr>
            <w:tcW w:w="7512" w:type="dxa"/>
          </w:tcPr>
          <w:p w:rsidR="002B5E36" w:rsidRPr="009C3F9A" w:rsidRDefault="002B5E36" w:rsidP="002B5E36">
            <w:pPr>
              <w:ind w:right="-142"/>
              <w:jc w:val="center"/>
              <w:rPr>
                <w:bCs/>
                <w:i/>
                <w:iCs/>
              </w:rPr>
            </w:pPr>
            <w:r w:rsidRPr="009C3F9A">
              <w:t>Опис альтернативи</w:t>
            </w:r>
            <w:r w:rsidRPr="009C3F9A">
              <w:rPr>
                <w:bCs/>
                <w:i/>
                <w:iCs/>
              </w:rPr>
              <w:t xml:space="preserve"> </w:t>
            </w:r>
          </w:p>
        </w:tc>
      </w:tr>
      <w:tr w:rsidR="002B5E36" w:rsidRPr="00D321F7" w:rsidTr="002B5E36">
        <w:tc>
          <w:tcPr>
            <w:tcW w:w="2235" w:type="dxa"/>
            <w:vAlign w:val="center"/>
          </w:tcPr>
          <w:p w:rsidR="00C060B6" w:rsidRPr="00061223" w:rsidRDefault="00C060B6" w:rsidP="00D34CA9">
            <w:pPr>
              <w:ind w:right="-142"/>
            </w:pPr>
            <w:r w:rsidRPr="00061223">
              <w:t>Альтернатива 1.</w:t>
            </w:r>
          </w:p>
          <w:p w:rsidR="002B5E36" w:rsidRPr="00D321F7" w:rsidRDefault="002B5E36" w:rsidP="00D34CA9">
            <w:pPr>
              <w:ind w:right="-142"/>
              <w:rPr>
                <w:color w:val="FF0000"/>
                <w:sz w:val="28"/>
                <w:szCs w:val="28"/>
              </w:rPr>
            </w:pPr>
            <w:r w:rsidRPr="00061223">
              <w:t>Залишення усього без змін</w:t>
            </w:r>
          </w:p>
        </w:tc>
        <w:tc>
          <w:tcPr>
            <w:tcW w:w="7512" w:type="dxa"/>
            <w:vAlign w:val="center"/>
          </w:tcPr>
          <w:p w:rsidR="00C85E6B" w:rsidRPr="008F2A63" w:rsidRDefault="002B5E36" w:rsidP="003F4D76">
            <w:pPr>
              <w:ind w:firstLine="317"/>
              <w:jc w:val="both"/>
              <w:rPr>
                <w:highlight w:val="green"/>
              </w:rPr>
            </w:pPr>
            <w:r w:rsidRPr="008F2A63">
              <w:t>Регулювання присутнє. Однак</w:t>
            </w:r>
            <w:r w:rsidR="00C85E6B" w:rsidRPr="008F2A63">
              <w:t xml:space="preserve">, </w:t>
            </w:r>
            <w:r w:rsidR="00061223" w:rsidRPr="008F2A63">
              <w:t>відсутній єдиний системний підхід до розміщення вивісок у м. Івано-Франківську. Продовжуватиметься спотворення історико-архітектурної охоронної зони м.Івано-Франківська, зовнішній вигляд в цілому, завдаватись шкода будівлям, особливо, пам’яткам архітектури.</w:t>
            </w:r>
          </w:p>
        </w:tc>
      </w:tr>
      <w:tr w:rsidR="002B5E36" w:rsidRPr="00D321F7" w:rsidTr="002B5E36">
        <w:tc>
          <w:tcPr>
            <w:tcW w:w="2235" w:type="dxa"/>
            <w:vAlign w:val="center"/>
          </w:tcPr>
          <w:p w:rsidR="00C060B6" w:rsidRPr="008F2A63" w:rsidRDefault="00C060B6" w:rsidP="00C060B6">
            <w:pPr>
              <w:ind w:right="-142"/>
            </w:pPr>
            <w:r w:rsidRPr="008F2A63">
              <w:t xml:space="preserve">Альтернатива </w:t>
            </w:r>
            <w:r w:rsidR="00061223" w:rsidRPr="008F2A63">
              <w:t>2</w:t>
            </w:r>
            <w:r w:rsidRPr="008F2A63">
              <w:t>.</w:t>
            </w:r>
          </w:p>
          <w:p w:rsidR="002B5E36" w:rsidRPr="00D321F7" w:rsidRDefault="002B5E36" w:rsidP="00D34CA9">
            <w:pPr>
              <w:ind w:right="-142"/>
              <w:rPr>
                <w:color w:val="FF0000"/>
                <w:sz w:val="28"/>
                <w:szCs w:val="28"/>
              </w:rPr>
            </w:pPr>
            <w:r w:rsidRPr="008F2A63">
              <w:t>Обраний спосіб регулювання</w:t>
            </w:r>
          </w:p>
        </w:tc>
        <w:tc>
          <w:tcPr>
            <w:tcW w:w="7512" w:type="dxa"/>
            <w:vAlign w:val="center"/>
          </w:tcPr>
          <w:p w:rsidR="009D3421" w:rsidRDefault="008F2A63" w:rsidP="008F2A63">
            <w:pPr>
              <w:ind w:right="33" w:firstLine="317"/>
              <w:jc w:val="both"/>
            </w:pPr>
            <w:r w:rsidRPr="008F2A63">
              <w:t>Встановлення чіткого та прозорого механізму розміщення вивісок на фасадах будівель, регламентування законностіь їх встановлення.</w:t>
            </w:r>
            <w:r>
              <w:t xml:space="preserve"> </w:t>
            </w:r>
            <w:r w:rsidR="00C85E6B" w:rsidRPr="008F2A63">
              <w:t xml:space="preserve">Негатив – </w:t>
            </w:r>
            <w:r w:rsidR="00061223" w:rsidRPr="008F2A63">
              <w:t xml:space="preserve">Перепогодження паспортів вивісок, які були погоджені з 2011 року до часу прийняття цього рішення, </w:t>
            </w:r>
            <w:r w:rsidR="009D3421">
              <w:t>у випадку, якщо вивіски не відповідають вимогам Порядку.</w:t>
            </w:r>
          </w:p>
          <w:p w:rsidR="00C85E6B" w:rsidRPr="008F2A63" w:rsidRDefault="00061223" w:rsidP="008F2A63">
            <w:pPr>
              <w:ind w:right="33" w:firstLine="317"/>
              <w:jc w:val="both"/>
            </w:pPr>
            <w:r w:rsidRPr="008F2A63">
              <w:t>.</w:t>
            </w:r>
          </w:p>
        </w:tc>
      </w:tr>
    </w:tbl>
    <w:p w:rsidR="008F2A63" w:rsidRDefault="008F2A63" w:rsidP="00C060B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C060B6" w:rsidRPr="008F2A63" w:rsidRDefault="00C060B6" w:rsidP="00C060B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8F2A63">
        <w:rPr>
          <w:sz w:val="28"/>
          <w:szCs w:val="28"/>
        </w:rPr>
        <w:t>Оцінка впливу на сферу інтересів держави</w:t>
      </w:r>
      <w:r w:rsidRPr="008F2A63">
        <w:rPr>
          <w:sz w:val="28"/>
          <w:szCs w:val="28"/>
          <w:lang w:val="uk-UA"/>
        </w:rPr>
        <w:t>, міської влади.</w:t>
      </w:r>
    </w:p>
    <w:p w:rsidR="002B5E36" w:rsidRPr="00D321F7" w:rsidRDefault="002B5E36" w:rsidP="002B5E3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</w:rPr>
      </w:pPr>
    </w:p>
    <w:tbl>
      <w:tblPr>
        <w:tblW w:w="5056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7"/>
        <w:gridCol w:w="2694"/>
        <w:gridCol w:w="5354"/>
      </w:tblGrid>
      <w:tr w:rsidR="00C060B6" w:rsidRPr="00D321F7" w:rsidTr="002848C4">
        <w:tc>
          <w:tcPr>
            <w:tcW w:w="1917" w:type="dxa"/>
          </w:tcPr>
          <w:p w:rsidR="00C060B6" w:rsidRPr="008F2A63" w:rsidRDefault="00C060B6" w:rsidP="00D34CA9">
            <w:pPr>
              <w:jc w:val="center"/>
              <w:rPr>
                <w:bCs/>
                <w:iCs/>
              </w:rPr>
            </w:pPr>
            <w:r w:rsidRPr="008F2A63">
              <w:rPr>
                <w:bCs/>
                <w:iCs/>
              </w:rPr>
              <w:t>Вид альтернативи</w:t>
            </w:r>
          </w:p>
        </w:tc>
        <w:tc>
          <w:tcPr>
            <w:tcW w:w="2694" w:type="dxa"/>
          </w:tcPr>
          <w:p w:rsidR="00C060B6" w:rsidRPr="008F2A63" w:rsidRDefault="00C060B6" w:rsidP="00D34CA9">
            <w:pPr>
              <w:jc w:val="center"/>
              <w:rPr>
                <w:bCs/>
                <w:iCs/>
              </w:rPr>
            </w:pPr>
            <w:r w:rsidRPr="008F2A63">
              <w:rPr>
                <w:bCs/>
                <w:iCs/>
              </w:rPr>
              <w:t>Вигоди</w:t>
            </w:r>
          </w:p>
        </w:tc>
        <w:tc>
          <w:tcPr>
            <w:tcW w:w="5354" w:type="dxa"/>
          </w:tcPr>
          <w:p w:rsidR="00C060B6" w:rsidRPr="008F2A63" w:rsidRDefault="00C060B6" w:rsidP="00D34CA9">
            <w:pPr>
              <w:jc w:val="center"/>
              <w:rPr>
                <w:bCs/>
                <w:iCs/>
              </w:rPr>
            </w:pPr>
            <w:r w:rsidRPr="008F2A63">
              <w:rPr>
                <w:bCs/>
                <w:iCs/>
              </w:rPr>
              <w:t>Витрати</w:t>
            </w:r>
          </w:p>
        </w:tc>
      </w:tr>
      <w:tr w:rsidR="00C060B6" w:rsidRPr="00D321F7" w:rsidTr="002848C4">
        <w:tc>
          <w:tcPr>
            <w:tcW w:w="1917" w:type="dxa"/>
            <w:vAlign w:val="center"/>
          </w:tcPr>
          <w:p w:rsidR="00C060B6" w:rsidRPr="008F2A63" w:rsidRDefault="00C060B6" w:rsidP="00C060B6">
            <w:pPr>
              <w:ind w:right="-142"/>
            </w:pPr>
            <w:r w:rsidRPr="008F2A63">
              <w:t>Альтернатива 1.</w:t>
            </w:r>
          </w:p>
          <w:p w:rsidR="00C060B6" w:rsidRPr="008F2A63" w:rsidRDefault="00C060B6" w:rsidP="00D34CA9"/>
        </w:tc>
        <w:tc>
          <w:tcPr>
            <w:tcW w:w="2694" w:type="dxa"/>
            <w:vAlign w:val="center"/>
          </w:tcPr>
          <w:p w:rsidR="003F4D76" w:rsidRPr="003F4D76" w:rsidRDefault="003F4D76" w:rsidP="003F4D76">
            <w:pPr>
              <w:jc w:val="both"/>
              <w:rPr>
                <w:bCs/>
              </w:rPr>
            </w:pPr>
            <w:r w:rsidRPr="003F4D76">
              <w:rPr>
                <w:bCs/>
              </w:rPr>
              <w:t>Розміщення вивісок на пам’ятках архітектури на підставі погоджених паспортів вивісок.</w:t>
            </w:r>
          </w:p>
          <w:p w:rsidR="00C060B6" w:rsidRPr="008F2A63" w:rsidRDefault="00C060B6" w:rsidP="003F4D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4" w:type="dxa"/>
            <w:vAlign w:val="center"/>
          </w:tcPr>
          <w:p w:rsidR="00C060B6" w:rsidRPr="008F2A63" w:rsidRDefault="0051106C" w:rsidP="003F4D76">
            <w:pPr>
              <w:ind w:firstLine="176"/>
              <w:jc w:val="both"/>
              <w:rPr>
                <w:sz w:val="28"/>
                <w:szCs w:val="28"/>
              </w:rPr>
            </w:pPr>
            <w:r w:rsidRPr="003F4D76">
              <w:t>Витрати, пов’язані з</w:t>
            </w:r>
            <w:r w:rsidR="003F4D76">
              <w:t xml:space="preserve"> демонтажем самовільно встановлених вивісок</w:t>
            </w:r>
            <w:r w:rsidRPr="008F2A63">
              <w:rPr>
                <w:sz w:val="28"/>
                <w:szCs w:val="28"/>
              </w:rPr>
              <w:t xml:space="preserve"> </w:t>
            </w:r>
          </w:p>
        </w:tc>
      </w:tr>
      <w:tr w:rsidR="00C060B6" w:rsidRPr="00D321F7" w:rsidTr="002848C4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0B6" w:rsidRPr="008F2A63" w:rsidRDefault="00C060B6" w:rsidP="00C060B6">
            <w:pPr>
              <w:ind w:right="-142"/>
            </w:pPr>
            <w:r w:rsidRPr="008F2A63">
              <w:t>Альтернатива 2.</w:t>
            </w:r>
          </w:p>
          <w:p w:rsidR="00C060B6" w:rsidRPr="008F2A63" w:rsidRDefault="00C060B6" w:rsidP="00D34CA9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D76" w:rsidRPr="00260256" w:rsidRDefault="003F4D76" w:rsidP="003F4D76">
            <w:pPr>
              <w:tabs>
                <w:tab w:val="left" w:pos="3402"/>
              </w:tabs>
              <w:ind w:firstLine="175"/>
              <w:jc w:val="both"/>
              <w:rPr>
                <w:color w:val="333333"/>
              </w:rPr>
            </w:pPr>
            <w:r w:rsidRPr="00260256">
              <w:rPr>
                <w:color w:val="333333"/>
              </w:rPr>
              <w:t xml:space="preserve">Запровадження запропонованого механізму надасть можливість впорядкувати розміщення вивісок на будівлях, не допустить перенасичення фасадів </w:t>
            </w:r>
            <w:r w:rsidRPr="00260256">
              <w:rPr>
                <w:color w:val="333333"/>
              </w:rPr>
              <w:lastRenderedPageBreak/>
              <w:t xml:space="preserve">будівель міста </w:t>
            </w:r>
            <w:r w:rsidR="00C762F2">
              <w:rPr>
                <w:color w:val="333333"/>
              </w:rPr>
              <w:t xml:space="preserve">лишніми </w:t>
            </w:r>
            <w:r w:rsidRPr="00260256">
              <w:rPr>
                <w:color w:val="333333"/>
              </w:rPr>
              <w:t>конструкціями, сприятиме збереженню автентичності пам’яток архітектури та історичного середовища в цілому.</w:t>
            </w:r>
          </w:p>
          <w:p w:rsidR="00C060B6" w:rsidRPr="008F2A63" w:rsidRDefault="00C060B6" w:rsidP="003F4D76">
            <w:pPr>
              <w:tabs>
                <w:tab w:val="left" w:pos="3402"/>
              </w:tabs>
              <w:ind w:firstLine="175"/>
              <w:jc w:val="both"/>
              <w:rPr>
                <w:sz w:val="28"/>
                <w:szCs w:val="28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E1" w:rsidRDefault="004F6790" w:rsidP="007540E1">
            <w:pPr>
              <w:tabs>
                <w:tab w:val="left" w:pos="3402"/>
              </w:tabs>
              <w:ind w:left="34" w:firstLine="142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1. </w:t>
            </w:r>
            <w:r w:rsidR="007540E1" w:rsidRPr="007D12E9">
              <w:t xml:space="preserve">Прийом вхідного пакету </w:t>
            </w:r>
            <w:r w:rsidR="007540E1">
              <w:t>документів, р</w:t>
            </w:r>
            <w:r w:rsidR="007540E1" w:rsidRPr="007D12E9">
              <w:t>еєстрація в</w:t>
            </w:r>
            <w:r w:rsidR="007540E1">
              <w:t xml:space="preserve"> електронному реєстрі системи «Універсам послуг», формування та видача суб’єкту звернення опису вхідного пакету документів</w:t>
            </w:r>
            <w:r w:rsidR="007540E1">
              <w:rPr>
                <w:color w:val="333333"/>
              </w:rPr>
              <w:t>.</w:t>
            </w:r>
          </w:p>
          <w:p w:rsidR="00677098" w:rsidRDefault="007540E1" w:rsidP="007540E1">
            <w:pPr>
              <w:tabs>
                <w:tab w:val="left" w:pos="3402"/>
              </w:tabs>
              <w:ind w:left="34" w:firstLine="142"/>
              <w:jc w:val="both"/>
            </w:pPr>
            <w:r>
              <w:t>2</w:t>
            </w:r>
            <w:r w:rsidRPr="007540E1">
              <w:rPr>
                <w:color w:val="333333"/>
              </w:rPr>
              <w:t>.</w:t>
            </w:r>
            <w:r>
              <w:rPr>
                <w:color w:val="333333"/>
              </w:rPr>
              <w:t xml:space="preserve"> </w:t>
            </w:r>
            <w:r w:rsidR="00677098" w:rsidRPr="007D12E9">
              <w:t xml:space="preserve">Передача вхідного пакету </w:t>
            </w:r>
            <w:r w:rsidR="00677098">
              <w:t xml:space="preserve">документів в Департамент містобудування, архітектури та культурної спадщини та внесення запису про </w:t>
            </w:r>
            <w:r w:rsidR="00677098">
              <w:lastRenderedPageBreak/>
              <w:t>його отримання в описі справи та/або електронному реєстрі системи «Універсам послуг».</w:t>
            </w:r>
          </w:p>
          <w:p w:rsidR="00C060B6" w:rsidRDefault="00677098" w:rsidP="00677098">
            <w:pPr>
              <w:tabs>
                <w:tab w:val="left" w:pos="3402"/>
              </w:tabs>
              <w:ind w:left="34" w:firstLine="142"/>
              <w:jc w:val="both"/>
            </w:pPr>
            <w:r>
              <w:t xml:space="preserve">3. </w:t>
            </w:r>
            <w:r w:rsidR="00D37FD6">
              <w:t>Розгляд документів та обстеження місця встановлення вивіски</w:t>
            </w:r>
            <w:r w:rsidR="00D37FD6">
              <w:t>.</w:t>
            </w:r>
          </w:p>
          <w:p w:rsidR="00D37FD6" w:rsidRDefault="00D37FD6" w:rsidP="00D37FD6">
            <w:pPr>
              <w:tabs>
                <w:tab w:val="left" w:pos="3402"/>
              </w:tabs>
              <w:ind w:left="34" w:firstLine="142"/>
              <w:jc w:val="both"/>
            </w:pPr>
            <w:r>
              <w:t xml:space="preserve">4. </w:t>
            </w:r>
            <w:r>
              <w:t xml:space="preserve">Погодження </w:t>
            </w:r>
            <w:r>
              <w:t>паспорта</w:t>
            </w:r>
            <w:r w:rsidRPr="00CB041B">
              <w:t xml:space="preserve"> вивіски</w:t>
            </w:r>
            <w:r>
              <w:t>.</w:t>
            </w:r>
          </w:p>
          <w:p w:rsidR="00D37FD6" w:rsidRDefault="00D37FD6" w:rsidP="00D37FD6">
            <w:pPr>
              <w:tabs>
                <w:tab w:val="left" w:pos="3402"/>
              </w:tabs>
              <w:ind w:left="34" w:firstLine="142"/>
              <w:jc w:val="both"/>
            </w:pPr>
            <w:r>
              <w:t xml:space="preserve">5. </w:t>
            </w:r>
            <w:r>
              <w:t>Передача результату послуги (вихідного пакету документів</w:t>
            </w:r>
            <w:r w:rsidR="006722D9">
              <w:t xml:space="preserve">, а саме, </w:t>
            </w:r>
            <w:r>
              <w:t xml:space="preserve"> п</w:t>
            </w:r>
            <w:r w:rsidRPr="00CB041B">
              <w:t>огоджен</w:t>
            </w:r>
            <w:r>
              <w:t xml:space="preserve">ого </w:t>
            </w:r>
            <w:r w:rsidR="006722D9">
              <w:t>паспорта вивіски</w:t>
            </w:r>
            <w:r>
              <w:t xml:space="preserve">) </w:t>
            </w:r>
            <w:r w:rsidRPr="007D12E9">
              <w:t xml:space="preserve">в Центр </w:t>
            </w:r>
            <w:r>
              <w:t>надання адміністративних послуг та реєстрація в електронному реєстрі системи «Універсам послуг».</w:t>
            </w:r>
          </w:p>
          <w:p w:rsidR="00D37FD6" w:rsidRDefault="00D37FD6" w:rsidP="00D37FD6">
            <w:pPr>
              <w:tabs>
                <w:tab w:val="left" w:pos="3402"/>
              </w:tabs>
              <w:ind w:left="34" w:firstLine="142"/>
              <w:jc w:val="both"/>
            </w:pPr>
            <w:r>
              <w:t xml:space="preserve">6. </w:t>
            </w:r>
            <w:r w:rsidR="00AE2919">
              <w:t>Повідомлення суб’єкта звернення про результат надання адміністративної послуги у зазначений суб’єктом звернення спосіб.</w:t>
            </w:r>
          </w:p>
          <w:p w:rsidR="00AE2919" w:rsidRDefault="00AE2919" w:rsidP="00AE2919">
            <w:pPr>
              <w:ind w:right="34"/>
              <w:jc w:val="both"/>
            </w:pPr>
            <w:r>
              <w:t xml:space="preserve">7. </w:t>
            </w:r>
            <w:r>
              <w:t>Видача заявнику результату надання адміністративної послуги.</w:t>
            </w:r>
          </w:p>
          <w:p w:rsidR="006722D9" w:rsidRPr="008F2A63" w:rsidRDefault="00AE2919" w:rsidP="006722D9">
            <w:pPr>
              <w:tabs>
                <w:tab w:val="left" w:pos="3402"/>
              </w:tabs>
              <w:ind w:left="34" w:firstLine="142"/>
              <w:jc w:val="both"/>
              <w:rPr>
                <w:sz w:val="28"/>
                <w:szCs w:val="28"/>
              </w:rPr>
            </w:pPr>
            <w:r>
              <w:t>І</w:t>
            </w:r>
            <w:r>
              <w:t>нформація про дату отримання вихідного пакета документів суб’єктом звернення фіксується у паперовій та електронній формі, сканований варіант факту отримання вихідного пакету документів зберігається у електронному архіві справи.</w:t>
            </w:r>
          </w:p>
        </w:tc>
      </w:tr>
    </w:tbl>
    <w:p w:rsidR="002B5E36" w:rsidRDefault="002B5E36" w:rsidP="002B5E3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  <w:lang w:val="uk-UA"/>
        </w:rPr>
      </w:pPr>
    </w:p>
    <w:p w:rsidR="002848C4" w:rsidRPr="00D321F7" w:rsidRDefault="002848C4" w:rsidP="002B5E3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  <w:lang w:val="uk-UA"/>
        </w:rPr>
      </w:pPr>
    </w:p>
    <w:p w:rsidR="00D34CA9" w:rsidRPr="009C3F9A" w:rsidRDefault="00D34CA9" w:rsidP="00D34CA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C3F9A">
        <w:rPr>
          <w:sz w:val="28"/>
          <w:szCs w:val="28"/>
        </w:rPr>
        <w:t>Оцінка впливу на сферу інтересів</w:t>
      </w:r>
      <w:r w:rsidRPr="009C3F9A">
        <w:rPr>
          <w:sz w:val="20"/>
          <w:szCs w:val="20"/>
        </w:rPr>
        <w:t xml:space="preserve"> </w:t>
      </w:r>
      <w:r w:rsidRPr="009C3F9A">
        <w:rPr>
          <w:sz w:val="28"/>
          <w:szCs w:val="28"/>
        </w:rPr>
        <w:t>суб’єктів господарювання</w:t>
      </w:r>
      <w:r w:rsidRPr="009C3F9A">
        <w:rPr>
          <w:sz w:val="28"/>
          <w:szCs w:val="28"/>
          <w:lang w:val="uk-UA"/>
        </w:rPr>
        <w:t>.</w:t>
      </w:r>
    </w:p>
    <w:p w:rsidR="00D34CA9" w:rsidRPr="009C3F9A" w:rsidRDefault="00D34CA9" w:rsidP="00D34CA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tbl>
      <w:tblPr>
        <w:tblW w:w="5056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9"/>
        <w:gridCol w:w="3827"/>
        <w:gridCol w:w="4079"/>
      </w:tblGrid>
      <w:tr w:rsidR="00D34CA9" w:rsidRPr="00D321F7" w:rsidTr="00C762F2">
        <w:tc>
          <w:tcPr>
            <w:tcW w:w="2059" w:type="dxa"/>
          </w:tcPr>
          <w:p w:rsidR="00D34CA9" w:rsidRPr="009C3F9A" w:rsidRDefault="00D34CA9" w:rsidP="00D34CA9">
            <w:pPr>
              <w:jc w:val="center"/>
              <w:rPr>
                <w:bCs/>
                <w:iCs/>
              </w:rPr>
            </w:pPr>
            <w:r w:rsidRPr="009C3F9A">
              <w:rPr>
                <w:bCs/>
                <w:iCs/>
              </w:rPr>
              <w:t>Вид альтернативи</w:t>
            </w:r>
          </w:p>
        </w:tc>
        <w:tc>
          <w:tcPr>
            <w:tcW w:w="3827" w:type="dxa"/>
          </w:tcPr>
          <w:p w:rsidR="00D34CA9" w:rsidRPr="009C3F9A" w:rsidRDefault="00D34CA9" w:rsidP="00D34CA9">
            <w:pPr>
              <w:jc w:val="center"/>
              <w:rPr>
                <w:bCs/>
                <w:iCs/>
              </w:rPr>
            </w:pPr>
            <w:r w:rsidRPr="009C3F9A">
              <w:rPr>
                <w:bCs/>
                <w:iCs/>
              </w:rPr>
              <w:t>Вигоди</w:t>
            </w:r>
          </w:p>
        </w:tc>
        <w:tc>
          <w:tcPr>
            <w:tcW w:w="4079" w:type="dxa"/>
          </w:tcPr>
          <w:p w:rsidR="00D34CA9" w:rsidRPr="009C3F9A" w:rsidRDefault="00D34CA9" w:rsidP="00D34CA9">
            <w:pPr>
              <w:jc w:val="center"/>
              <w:rPr>
                <w:bCs/>
                <w:iCs/>
              </w:rPr>
            </w:pPr>
            <w:r w:rsidRPr="009C3F9A">
              <w:rPr>
                <w:bCs/>
                <w:iCs/>
              </w:rPr>
              <w:t>Витрати</w:t>
            </w:r>
          </w:p>
        </w:tc>
      </w:tr>
      <w:tr w:rsidR="00D34CA9" w:rsidRPr="00D321F7" w:rsidTr="00C762F2">
        <w:tc>
          <w:tcPr>
            <w:tcW w:w="2059" w:type="dxa"/>
            <w:vAlign w:val="center"/>
          </w:tcPr>
          <w:p w:rsidR="00D34CA9" w:rsidRPr="009C3F9A" w:rsidRDefault="00D34CA9" w:rsidP="00D34CA9">
            <w:pPr>
              <w:ind w:right="-142"/>
            </w:pPr>
            <w:r w:rsidRPr="009C3F9A">
              <w:t>Альтернатива 1.</w:t>
            </w:r>
          </w:p>
          <w:p w:rsidR="00D34CA9" w:rsidRPr="009C3F9A" w:rsidRDefault="00D34CA9" w:rsidP="00D34CA9"/>
        </w:tc>
        <w:tc>
          <w:tcPr>
            <w:tcW w:w="3827" w:type="dxa"/>
            <w:vAlign w:val="center"/>
          </w:tcPr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1.Виготовити вивіску – 15000 грн</w:t>
            </w:r>
          </w:p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2. Встановити вивіску – 2000 грн</w:t>
            </w:r>
          </w:p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Всього – 17000 грн</w:t>
            </w:r>
          </w:p>
          <w:p w:rsidR="00D34CA9" w:rsidRPr="008440C3" w:rsidRDefault="00D34CA9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</w:p>
        </w:tc>
        <w:tc>
          <w:tcPr>
            <w:tcW w:w="4079" w:type="dxa"/>
            <w:vAlign w:val="center"/>
          </w:tcPr>
          <w:p w:rsidR="009D3421" w:rsidRPr="008440C3" w:rsidRDefault="00C762F2" w:rsidP="009D342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1. </w:t>
            </w:r>
            <w:r w:rsidR="009D3421" w:rsidRPr="008440C3">
              <w:rPr>
                <w:rStyle w:val="rvts82"/>
                <w:bdr w:val="none" w:sz="0" w:space="0" w:color="auto" w:frame="1"/>
                <w:lang w:val="uk-UA"/>
              </w:rPr>
              <w:t>Зняти вивіску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 – 2000 грн</w:t>
            </w:r>
          </w:p>
          <w:p w:rsidR="00C762F2" w:rsidRPr="008440C3" w:rsidRDefault="00C762F2" w:rsidP="009D342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2.</w:t>
            </w:r>
            <w:r w:rsidR="009D3421" w:rsidRPr="008440C3">
              <w:rPr>
                <w:rStyle w:val="rvts82"/>
                <w:bdr w:val="none" w:sz="0" w:space="0" w:color="auto" w:frame="1"/>
                <w:lang w:val="uk-UA"/>
              </w:rPr>
              <w:t>Виготовити проектну документацію (паспорт вивіски)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 – 500 грнн. </w:t>
            </w:r>
          </w:p>
          <w:p w:rsidR="009D3421" w:rsidRPr="008440C3" w:rsidRDefault="00C762F2" w:rsidP="009D342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3. </w:t>
            </w:r>
            <w:r w:rsidR="009D3421" w:rsidRPr="008440C3">
              <w:rPr>
                <w:rStyle w:val="rvts82"/>
                <w:bdr w:val="none" w:sz="0" w:space="0" w:color="auto" w:frame="1"/>
                <w:lang w:val="uk-UA"/>
              </w:rPr>
              <w:t>Погодити паспорт вивіски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 </w:t>
            </w:r>
            <w:r w:rsidR="004F6790" w:rsidRPr="008440C3">
              <w:rPr>
                <w:rStyle w:val="rvts82"/>
                <w:bdr w:val="none" w:sz="0" w:space="0" w:color="auto" w:frame="1"/>
                <w:lang w:val="uk-UA"/>
              </w:rPr>
              <w:t xml:space="preserve">– 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>8,6 грн.</w:t>
            </w:r>
          </w:p>
          <w:p w:rsidR="009D3421" w:rsidRPr="008440C3" w:rsidRDefault="00C762F2" w:rsidP="009D342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4. </w:t>
            </w:r>
            <w:r w:rsidR="009D3421" w:rsidRPr="008440C3">
              <w:rPr>
                <w:rStyle w:val="rvts82"/>
                <w:bdr w:val="none" w:sz="0" w:space="0" w:color="auto" w:frame="1"/>
                <w:lang w:val="uk-UA"/>
              </w:rPr>
              <w:t>Виготовити вивіску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 – 15000 грн</w:t>
            </w:r>
          </w:p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5. </w:t>
            </w:r>
            <w:r w:rsidR="009D3421" w:rsidRPr="008440C3">
              <w:rPr>
                <w:rStyle w:val="rvts82"/>
                <w:bdr w:val="none" w:sz="0" w:space="0" w:color="auto" w:frame="1"/>
                <w:lang w:val="uk-UA"/>
              </w:rPr>
              <w:t>Встановити вивіску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 – 2000 грн</w:t>
            </w:r>
          </w:p>
          <w:p w:rsidR="009D3421" w:rsidRPr="008440C3" w:rsidRDefault="00C762F2" w:rsidP="009D342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6. </w:t>
            </w:r>
            <w:r w:rsidR="009D3421" w:rsidRPr="008440C3">
              <w:rPr>
                <w:rStyle w:val="rvts82"/>
                <w:bdr w:val="none" w:sz="0" w:space="0" w:color="auto" w:frame="1"/>
                <w:lang w:val="uk-UA"/>
              </w:rPr>
              <w:t>Сплата штрафу за самовільно встановлену та вчасно не демонтовану вивіску(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 2</w:t>
            </w:r>
            <w:r w:rsidR="009D3421" w:rsidRPr="008440C3">
              <w:rPr>
                <w:rStyle w:val="rvts82"/>
                <w:bdr w:val="none" w:sz="0" w:space="0" w:color="auto" w:frame="1"/>
                <w:lang w:val="uk-UA"/>
              </w:rPr>
              <w:t>% від кількості суб’єктів господарювання)</w:t>
            </w:r>
          </w:p>
          <w:p w:rsidR="009D3421" w:rsidRPr="008440C3" w:rsidRDefault="00C762F2" w:rsidP="009D342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– в середньому 1100 грн</w:t>
            </w:r>
          </w:p>
          <w:p w:rsidR="00D34CA9" w:rsidRPr="008440C3" w:rsidRDefault="00C762F2" w:rsidP="00C762F2">
            <w:pPr>
              <w:jc w:val="both"/>
            </w:pPr>
            <w:r w:rsidRPr="008440C3">
              <w:rPr>
                <w:rStyle w:val="rvts82"/>
                <w:bdr w:val="none" w:sz="0" w:space="0" w:color="auto" w:frame="1"/>
              </w:rPr>
              <w:t>Всього – 20608,6 грн</w:t>
            </w:r>
          </w:p>
        </w:tc>
      </w:tr>
      <w:tr w:rsidR="00D34CA9" w:rsidRPr="00D321F7" w:rsidTr="00C762F2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A9" w:rsidRPr="009C3F9A" w:rsidRDefault="00D34CA9" w:rsidP="00D34CA9">
            <w:pPr>
              <w:ind w:right="-142"/>
            </w:pPr>
            <w:r w:rsidRPr="009C3F9A">
              <w:t>Альтернатива 2.</w:t>
            </w:r>
          </w:p>
          <w:p w:rsidR="00D34CA9" w:rsidRPr="009C3F9A" w:rsidRDefault="00D34CA9" w:rsidP="00D34CA9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Відсутність накладення адміністративного стягнення у вигляді штрафу.</w:t>
            </w:r>
          </w:p>
          <w:p w:rsidR="00D34CA9" w:rsidRPr="008440C3" w:rsidRDefault="00D34CA9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1.Виготовити проектну документацію (паспорт вивіски) – 500</w:t>
            </w:r>
            <w:r w:rsidR="004F6790" w:rsidRPr="008440C3">
              <w:rPr>
                <w:rStyle w:val="rvts82"/>
                <w:bdr w:val="none" w:sz="0" w:space="0" w:color="auto" w:frame="1"/>
                <w:lang w:val="uk-UA"/>
              </w:rPr>
              <w:t xml:space="preserve"> 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грнн. </w:t>
            </w:r>
          </w:p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 xml:space="preserve">2. Погодити паспорт вивіски </w:t>
            </w:r>
            <w:r w:rsidR="004F6790" w:rsidRPr="008440C3">
              <w:rPr>
                <w:rStyle w:val="rvts82"/>
                <w:bdr w:val="none" w:sz="0" w:space="0" w:color="auto" w:frame="1"/>
                <w:lang w:val="uk-UA"/>
              </w:rPr>
              <w:t xml:space="preserve">– 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>8,6 грн.</w:t>
            </w:r>
          </w:p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3. Виготовити вивіску – 15000 грн</w:t>
            </w:r>
          </w:p>
          <w:p w:rsidR="00C762F2" w:rsidRPr="008440C3" w:rsidRDefault="00C762F2" w:rsidP="00C762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82"/>
                <w:bdr w:val="none" w:sz="0" w:space="0" w:color="auto" w:frame="1"/>
                <w:lang w:val="uk-UA"/>
              </w:rPr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4. Встановити вивіску – 2000 грн</w:t>
            </w:r>
          </w:p>
          <w:p w:rsidR="00D34CA9" w:rsidRPr="008440C3" w:rsidRDefault="00C762F2" w:rsidP="002848C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8440C3">
              <w:rPr>
                <w:rStyle w:val="rvts82"/>
                <w:bdr w:val="none" w:sz="0" w:space="0" w:color="auto" w:frame="1"/>
                <w:lang w:val="uk-UA"/>
              </w:rPr>
              <w:t>Всього</w:t>
            </w:r>
            <w:r w:rsidRPr="008440C3">
              <w:rPr>
                <w:rStyle w:val="rvts82"/>
                <w:bdr w:val="none" w:sz="0" w:space="0" w:color="auto" w:frame="1"/>
              </w:rPr>
              <w:t xml:space="preserve"> 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>–</w:t>
            </w:r>
            <w:r w:rsidRPr="008440C3">
              <w:rPr>
                <w:rStyle w:val="rvts82"/>
                <w:bdr w:val="none" w:sz="0" w:space="0" w:color="auto" w:frame="1"/>
              </w:rPr>
              <w:t xml:space="preserve"> </w:t>
            </w:r>
            <w:r w:rsidRPr="008440C3">
              <w:rPr>
                <w:rStyle w:val="rvts82"/>
                <w:bdr w:val="none" w:sz="0" w:space="0" w:color="auto" w:frame="1"/>
                <w:lang w:val="uk-UA"/>
              </w:rPr>
              <w:t>19508,6 грн</w:t>
            </w:r>
          </w:p>
        </w:tc>
      </w:tr>
    </w:tbl>
    <w:p w:rsidR="002848C4" w:rsidRDefault="002848C4" w:rsidP="00D34CA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2848C4" w:rsidRDefault="002848C4" w:rsidP="00D34CA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34CA9" w:rsidRDefault="00D34CA9" w:rsidP="00D34CA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D07D8F">
        <w:rPr>
          <w:sz w:val="28"/>
          <w:szCs w:val="28"/>
        </w:rPr>
        <w:lastRenderedPageBreak/>
        <w:t>Оцінка впливу на сферу інтересів</w:t>
      </w:r>
      <w:r w:rsidRPr="00D07D8F">
        <w:rPr>
          <w:sz w:val="20"/>
          <w:szCs w:val="20"/>
        </w:rPr>
        <w:t xml:space="preserve"> </w:t>
      </w:r>
      <w:r w:rsidRPr="00D07D8F">
        <w:rPr>
          <w:sz w:val="28"/>
          <w:szCs w:val="28"/>
          <w:lang w:val="uk-UA"/>
        </w:rPr>
        <w:t>громадян.</w:t>
      </w:r>
    </w:p>
    <w:p w:rsidR="002848C4" w:rsidRPr="00D07D8F" w:rsidRDefault="002848C4" w:rsidP="00D34CA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tbl>
      <w:tblPr>
        <w:tblW w:w="5056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3"/>
        <w:gridCol w:w="4130"/>
        <w:gridCol w:w="3512"/>
      </w:tblGrid>
      <w:tr w:rsidR="00D34CA9" w:rsidRPr="00D321F7" w:rsidTr="00A83A5F">
        <w:tc>
          <w:tcPr>
            <w:tcW w:w="2323" w:type="dxa"/>
          </w:tcPr>
          <w:p w:rsidR="00D34CA9" w:rsidRPr="006C3B86" w:rsidRDefault="00D34CA9" w:rsidP="00D34CA9">
            <w:pPr>
              <w:jc w:val="center"/>
              <w:rPr>
                <w:bCs/>
                <w:iCs/>
              </w:rPr>
            </w:pPr>
            <w:r w:rsidRPr="006C3B86">
              <w:rPr>
                <w:bCs/>
                <w:iCs/>
              </w:rPr>
              <w:t>Вид альтернативи</w:t>
            </w:r>
          </w:p>
        </w:tc>
        <w:tc>
          <w:tcPr>
            <w:tcW w:w="4130" w:type="dxa"/>
          </w:tcPr>
          <w:p w:rsidR="00D34CA9" w:rsidRPr="00D07D8F" w:rsidRDefault="00D34CA9" w:rsidP="00D34CA9">
            <w:pPr>
              <w:jc w:val="center"/>
              <w:rPr>
                <w:bCs/>
                <w:iCs/>
              </w:rPr>
            </w:pPr>
            <w:r w:rsidRPr="00D07D8F">
              <w:rPr>
                <w:bCs/>
                <w:iCs/>
              </w:rPr>
              <w:t>Вигоди</w:t>
            </w:r>
          </w:p>
        </w:tc>
        <w:tc>
          <w:tcPr>
            <w:tcW w:w="3512" w:type="dxa"/>
          </w:tcPr>
          <w:p w:rsidR="00D34CA9" w:rsidRPr="00D07D8F" w:rsidRDefault="00D34CA9" w:rsidP="00D34CA9">
            <w:pPr>
              <w:jc w:val="center"/>
              <w:rPr>
                <w:bCs/>
                <w:iCs/>
              </w:rPr>
            </w:pPr>
            <w:r w:rsidRPr="00D07D8F">
              <w:rPr>
                <w:bCs/>
                <w:iCs/>
              </w:rPr>
              <w:t>Витрати</w:t>
            </w:r>
          </w:p>
        </w:tc>
      </w:tr>
      <w:tr w:rsidR="00D34CA9" w:rsidRPr="00D321F7" w:rsidTr="00A83A5F">
        <w:tc>
          <w:tcPr>
            <w:tcW w:w="2323" w:type="dxa"/>
            <w:vAlign w:val="center"/>
          </w:tcPr>
          <w:p w:rsidR="00D34CA9" w:rsidRPr="006C3B86" w:rsidRDefault="00D34CA9" w:rsidP="00D34CA9">
            <w:pPr>
              <w:ind w:right="-142"/>
            </w:pPr>
            <w:r w:rsidRPr="006C3B86">
              <w:t>Альтернатива 1.</w:t>
            </w:r>
          </w:p>
          <w:p w:rsidR="00D34CA9" w:rsidRPr="006C3B86" w:rsidRDefault="00D34CA9" w:rsidP="00D34CA9"/>
        </w:tc>
        <w:tc>
          <w:tcPr>
            <w:tcW w:w="4130" w:type="dxa"/>
            <w:vAlign w:val="center"/>
          </w:tcPr>
          <w:p w:rsidR="00D34CA9" w:rsidRPr="00D07D8F" w:rsidRDefault="00D07D8F" w:rsidP="00D07D8F">
            <w:pPr>
              <w:jc w:val="both"/>
            </w:pPr>
            <w:r w:rsidRPr="00D07D8F">
              <w:t>Відсутні</w:t>
            </w:r>
          </w:p>
        </w:tc>
        <w:tc>
          <w:tcPr>
            <w:tcW w:w="3512" w:type="dxa"/>
            <w:vAlign w:val="center"/>
          </w:tcPr>
          <w:p w:rsidR="00D34CA9" w:rsidRPr="006C3B86" w:rsidRDefault="00D34CA9" w:rsidP="00D34CA9">
            <w:pPr>
              <w:jc w:val="both"/>
            </w:pPr>
            <w:r w:rsidRPr="006C3B86">
              <w:t>Відсутні</w:t>
            </w:r>
          </w:p>
        </w:tc>
      </w:tr>
      <w:tr w:rsidR="00D34CA9" w:rsidRPr="00D321F7" w:rsidTr="00A83A5F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A9" w:rsidRPr="006C3B86" w:rsidRDefault="00D34CA9" w:rsidP="00D34CA9">
            <w:pPr>
              <w:ind w:right="-142"/>
            </w:pPr>
            <w:r w:rsidRPr="006C3B86">
              <w:t>Альтернатива 2.</w:t>
            </w:r>
          </w:p>
          <w:p w:rsidR="00D34CA9" w:rsidRPr="006C3B86" w:rsidRDefault="00D34CA9" w:rsidP="00D34CA9"/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421" w:rsidRDefault="009D3421" w:rsidP="008E278B">
            <w:pPr>
              <w:pStyle w:val="rvps2"/>
              <w:shd w:val="clear" w:color="auto" w:fill="FFFFFF"/>
              <w:spacing w:before="0" w:beforeAutospacing="0" w:after="0" w:afterAutospacing="0"/>
              <w:ind w:left="53"/>
              <w:jc w:val="both"/>
              <w:textAlignment w:val="baseline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Покращення дизайну архітектурного середовища.</w:t>
            </w:r>
          </w:p>
          <w:p w:rsidR="00D34CA9" w:rsidRPr="00E62AFE" w:rsidRDefault="00D34CA9" w:rsidP="008E278B">
            <w:pPr>
              <w:pStyle w:val="rvps2"/>
              <w:shd w:val="clear" w:color="auto" w:fill="FFFFFF"/>
              <w:spacing w:before="0" w:beforeAutospacing="0" w:after="0" w:afterAutospacing="0"/>
              <w:ind w:left="53"/>
              <w:jc w:val="both"/>
              <w:textAlignment w:val="baseline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CA9" w:rsidRPr="006C3B86" w:rsidRDefault="009D3421" w:rsidP="009D3421">
            <w:pPr>
              <w:jc w:val="both"/>
            </w:pPr>
            <w:r>
              <w:t>Відсутні</w:t>
            </w:r>
          </w:p>
        </w:tc>
      </w:tr>
    </w:tbl>
    <w:p w:rsidR="002B5E36" w:rsidRPr="00D321F7" w:rsidRDefault="002B5E36" w:rsidP="002B5E3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0"/>
          <w:szCs w:val="20"/>
          <w:lang w:val="uk-UA"/>
        </w:rPr>
      </w:pPr>
    </w:p>
    <w:p w:rsidR="00E77A44" w:rsidRPr="00564EF2" w:rsidRDefault="00E77A44" w:rsidP="006C3B86">
      <w:pPr>
        <w:pStyle w:val="rvps12"/>
        <w:shd w:val="clear" w:color="auto" w:fill="FFFFFF"/>
        <w:spacing w:before="0" w:beforeAutospacing="0" w:after="0" w:afterAutospacing="0"/>
        <w:ind w:left="928"/>
        <w:jc w:val="center"/>
        <w:textAlignment w:val="baseline"/>
        <w:rPr>
          <w:rStyle w:val="rvts15"/>
          <w:color w:val="000000"/>
          <w:sz w:val="20"/>
          <w:szCs w:val="20"/>
        </w:rPr>
      </w:pPr>
      <w:bookmarkStart w:id="7" w:name="n144"/>
      <w:bookmarkStart w:id="8" w:name="n151"/>
      <w:bookmarkEnd w:id="7"/>
      <w:bookmarkEnd w:id="8"/>
      <w:r>
        <w:rPr>
          <w:rStyle w:val="rvts15"/>
          <w:b/>
          <w:bCs/>
          <w:color w:val="000000"/>
          <w:sz w:val="28"/>
          <w:szCs w:val="28"/>
          <w:bdr w:val="none" w:sz="0" w:space="0" w:color="auto" w:frame="1"/>
        </w:rPr>
        <w:t>IV. Вибір найбільш оптимального альтернативного способу досягнення цілей</w:t>
      </w:r>
    </w:p>
    <w:p w:rsidR="00564EF2" w:rsidRDefault="00564EF2" w:rsidP="00564EF2">
      <w:pPr>
        <w:pStyle w:val="rvps12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5056" w:type="pct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3"/>
        <w:gridCol w:w="2855"/>
        <w:gridCol w:w="4787"/>
      </w:tblGrid>
      <w:tr w:rsidR="00564EF2" w:rsidRPr="003B6ED7" w:rsidTr="00FC5CE8">
        <w:tc>
          <w:tcPr>
            <w:tcW w:w="2323" w:type="dxa"/>
          </w:tcPr>
          <w:p w:rsidR="00564EF2" w:rsidRPr="006C3B86" w:rsidRDefault="00564EF2" w:rsidP="00564EF2">
            <w:pPr>
              <w:jc w:val="center"/>
              <w:rPr>
                <w:b/>
                <w:bCs/>
                <w:iCs/>
              </w:rPr>
            </w:pPr>
            <w:r w:rsidRPr="006C3B86">
              <w:t>Рейтинг результативності (досягнення цілей під час вирішення проблеми)</w:t>
            </w:r>
          </w:p>
        </w:tc>
        <w:tc>
          <w:tcPr>
            <w:tcW w:w="2855" w:type="dxa"/>
          </w:tcPr>
          <w:p w:rsidR="006C3B86" w:rsidRDefault="006C3B86" w:rsidP="00564EF2">
            <w:pPr>
              <w:jc w:val="center"/>
            </w:pPr>
          </w:p>
          <w:p w:rsidR="00564EF2" w:rsidRPr="006C3B86" w:rsidRDefault="00564EF2" w:rsidP="00564EF2">
            <w:pPr>
              <w:jc w:val="center"/>
              <w:rPr>
                <w:b/>
                <w:bCs/>
                <w:iCs/>
              </w:rPr>
            </w:pPr>
            <w:r w:rsidRPr="006C3B86">
              <w:t>Бал результативності (за чотирибальною системою оцінки)</w:t>
            </w:r>
          </w:p>
        </w:tc>
        <w:tc>
          <w:tcPr>
            <w:tcW w:w="4787" w:type="dxa"/>
          </w:tcPr>
          <w:p w:rsidR="006C3B86" w:rsidRDefault="006C3B86" w:rsidP="00F748F4">
            <w:pPr>
              <w:jc w:val="center"/>
            </w:pPr>
          </w:p>
          <w:p w:rsidR="006C3B86" w:rsidRDefault="006C3B86" w:rsidP="00F748F4">
            <w:pPr>
              <w:jc w:val="center"/>
            </w:pPr>
          </w:p>
          <w:p w:rsidR="00564EF2" w:rsidRPr="006C3B86" w:rsidRDefault="00564EF2" w:rsidP="00F748F4">
            <w:pPr>
              <w:jc w:val="center"/>
              <w:rPr>
                <w:b/>
                <w:bCs/>
                <w:iCs/>
              </w:rPr>
            </w:pPr>
            <w:r w:rsidRPr="006C3B86">
              <w:t>Коментарі щодо присвоєння відповідного бала</w:t>
            </w:r>
          </w:p>
        </w:tc>
      </w:tr>
      <w:tr w:rsidR="00564EF2" w:rsidRPr="003B6ED7" w:rsidTr="00FC5CE8">
        <w:tc>
          <w:tcPr>
            <w:tcW w:w="2323" w:type="dxa"/>
            <w:vAlign w:val="center"/>
          </w:tcPr>
          <w:p w:rsidR="00FC5CE8" w:rsidRDefault="00FC5CE8" w:rsidP="00F748F4">
            <w:pPr>
              <w:ind w:right="-142"/>
              <w:rPr>
                <w:sz w:val="28"/>
                <w:szCs w:val="28"/>
              </w:rPr>
            </w:pPr>
          </w:p>
          <w:p w:rsidR="00564EF2" w:rsidRPr="006C3B86" w:rsidRDefault="00564EF2" w:rsidP="00F748F4">
            <w:pPr>
              <w:ind w:right="-142"/>
            </w:pPr>
            <w:r w:rsidRPr="006C3B86">
              <w:t>Альтернатива 1.</w:t>
            </w:r>
          </w:p>
          <w:p w:rsidR="00FC5CE8" w:rsidRPr="006C3B86" w:rsidRDefault="00FC5CE8" w:rsidP="00F748F4">
            <w:pPr>
              <w:ind w:right="-142"/>
            </w:pPr>
          </w:p>
          <w:p w:rsidR="00564EF2" w:rsidRPr="003B6ED7" w:rsidRDefault="00564EF2" w:rsidP="00F748F4">
            <w:pPr>
              <w:rPr>
                <w:sz w:val="28"/>
                <w:szCs w:val="28"/>
              </w:rPr>
            </w:pPr>
          </w:p>
        </w:tc>
        <w:tc>
          <w:tcPr>
            <w:tcW w:w="2855" w:type="dxa"/>
            <w:vAlign w:val="center"/>
          </w:tcPr>
          <w:p w:rsidR="00564EF2" w:rsidRPr="006C3B86" w:rsidRDefault="006C3B86" w:rsidP="00FC5CE8">
            <w:pPr>
              <w:jc w:val="center"/>
            </w:pPr>
            <w:r w:rsidRPr="006C3B86">
              <w:t>1</w:t>
            </w:r>
          </w:p>
        </w:tc>
        <w:tc>
          <w:tcPr>
            <w:tcW w:w="4787" w:type="dxa"/>
            <w:vAlign w:val="center"/>
          </w:tcPr>
          <w:p w:rsidR="00A83A5F" w:rsidRDefault="00A83A5F" w:rsidP="006C3B86">
            <w:pPr>
              <w:ind w:firstLine="175"/>
              <w:jc w:val="both"/>
            </w:pPr>
            <w:r>
              <w:rPr>
                <w:color w:val="333333"/>
              </w:rPr>
              <w:t>П</w:t>
            </w:r>
            <w:r w:rsidRPr="00260256">
              <w:rPr>
                <w:color w:val="333333"/>
              </w:rPr>
              <w:t>еренасичення фасадів будівель міста конструкціями</w:t>
            </w:r>
            <w:r>
              <w:rPr>
                <w:color w:val="333333"/>
              </w:rPr>
              <w:t>.</w:t>
            </w:r>
          </w:p>
          <w:p w:rsidR="006C3B86" w:rsidRDefault="006C3B86" w:rsidP="006C3B86">
            <w:pPr>
              <w:ind w:firstLine="175"/>
              <w:jc w:val="both"/>
            </w:pPr>
            <w:r w:rsidRPr="006C3B86">
              <w:t>Відсутнє погодження паспортів вивісок на будівлях (спорудах), що не є пам’ятками архітектури.</w:t>
            </w:r>
            <w:r w:rsidRPr="008F2A63">
              <w:t xml:space="preserve"> </w:t>
            </w:r>
          </w:p>
          <w:p w:rsidR="00564EF2" w:rsidRPr="003B6ED7" w:rsidRDefault="006C3B86" w:rsidP="006C3B86">
            <w:pPr>
              <w:ind w:firstLine="175"/>
              <w:jc w:val="both"/>
              <w:rPr>
                <w:sz w:val="28"/>
                <w:szCs w:val="28"/>
              </w:rPr>
            </w:pPr>
            <w:r>
              <w:t>В</w:t>
            </w:r>
            <w:r w:rsidRPr="008F2A63">
              <w:t>ідсутній єдиний системний підхід до розміщення вивісок</w:t>
            </w:r>
            <w:r>
              <w:t>.</w:t>
            </w:r>
          </w:p>
        </w:tc>
      </w:tr>
      <w:tr w:rsidR="00564EF2" w:rsidRPr="003B6ED7" w:rsidTr="00FC5CE8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CE8" w:rsidRDefault="00FC5CE8" w:rsidP="00F748F4">
            <w:pPr>
              <w:ind w:right="-142"/>
              <w:rPr>
                <w:sz w:val="28"/>
                <w:szCs w:val="28"/>
              </w:rPr>
            </w:pPr>
          </w:p>
          <w:p w:rsidR="00564EF2" w:rsidRPr="006C3B86" w:rsidRDefault="00564EF2" w:rsidP="00F748F4">
            <w:pPr>
              <w:ind w:right="-142"/>
            </w:pPr>
            <w:r w:rsidRPr="006C3B86">
              <w:t>Альтернатива 2.</w:t>
            </w:r>
          </w:p>
          <w:p w:rsidR="00564EF2" w:rsidRPr="003B6ED7" w:rsidRDefault="00564EF2" w:rsidP="00F748F4">
            <w:pPr>
              <w:rPr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F2" w:rsidRPr="006C3B86" w:rsidRDefault="00FC5CE8" w:rsidP="00FC5CE8">
            <w:pPr>
              <w:pStyle w:val="rvps2"/>
              <w:shd w:val="clear" w:color="auto" w:fill="FFFFFF"/>
              <w:spacing w:before="0" w:beforeAutospacing="0" w:after="0" w:afterAutospacing="0"/>
              <w:ind w:left="53"/>
              <w:jc w:val="center"/>
              <w:textAlignment w:val="baseline"/>
              <w:rPr>
                <w:color w:val="000000"/>
                <w:lang w:val="uk-UA"/>
              </w:rPr>
            </w:pPr>
            <w:r w:rsidRPr="006C3B86">
              <w:rPr>
                <w:color w:val="000000"/>
                <w:lang w:val="uk-UA"/>
              </w:rPr>
              <w:t>3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F2" w:rsidRPr="006C3B86" w:rsidRDefault="00FC5CE8" w:rsidP="006C3B86">
            <w:pPr>
              <w:ind w:firstLine="175"/>
              <w:jc w:val="both"/>
            </w:pPr>
            <w:r w:rsidRPr="006C3B86">
              <w:t xml:space="preserve">Проблема </w:t>
            </w:r>
            <w:r w:rsidR="006C3B86" w:rsidRPr="006C3B86">
              <w:t xml:space="preserve">розміщення </w:t>
            </w:r>
            <w:r w:rsidRPr="006C3B86">
              <w:t xml:space="preserve">нових </w:t>
            </w:r>
            <w:r w:rsidR="006C3B86" w:rsidRPr="006C3B86">
              <w:t xml:space="preserve">вивісок </w:t>
            </w:r>
            <w:r w:rsidRPr="006C3B86">
              <w:t>буде існувати до покращення</w:t>
            </w:r>
            <w:r w:rsidR="006C3B86">
              <w:t xml:space="preserve"> </w:t>
            </w:r>
            <w:r w:rsidRPr="006C3B86">
              <w:t>економічної ситуації держави</w:t>
            </w:r>
            <w:r w:rsidR="006C3B86">
              <w:t>.</w:t>
            </w:r>
          </w:p>
        </w:tc>
      </w:tr>
    </w:tbl>
    <w:p w:rsidR="00564EF2" w:rsidRDefault="00564EF2" w:rsidP="00564EF2">
      <w:pPr>
        <w:pStyle w:val="rvps12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564EF2" w:rsidRDefault="00564EF2" w:rsidP="00564EF2">
      <w:pPr>
        <w:pStyle w:val="rvps1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0"/>
          <w:szCs w:val="20"/>
        </w:rPr>
      </w:pPr>
    </w:p>
    <w:p w:rsidR="00E77A44" w:rsidRPr="00D07D8F" w:rsidRDefault="00E77A44" w:rsidP="00D07D8F">
      <w:pPr>
        <w:pStyle w:val="rvps12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bookmarkStart w:id="9" w:name="n152"/>
      <w:bookmarkStart w:id="10" w:name="n161"/>
      <w:bookmarkEnd w:id="9"/>
      <w:bookmarkEnd w:id="10"/>
      <w:r w:rsidRPr="00D07D8F">
        <w:rPr>
          <w:rStyle w:val="rvts15"/>
          <w:b/>
          <w:bCs/>
          <w:sz w:val="28"/>
          <w:szCs w:val="28"/>
          <w:bdr w:val="none" w:sz="0" w:space="0" w:color="auto" w:frame="1"/>
        </w:rPr>
        <w:t>V. Механізми та заходи, які забезпечать розв’язання визначеної проблеми</w:t>
      </w:r>
    </w:p>
    <w:p w:rsidR="00A83A5F" w:rsidRPr="00D07D8F" w:rsidRDefault="00A83A5F" w:rsidP="00D07D8F">
      <w:pPr>
        <w:pStyle w:val="rvps12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</w:p>
    <w:p w:rsidR="00D07D8F" w:rsidRPr="00921B42" w:rsidRDefault="00D07D8F" w:rsidP="00D07D8F">
      <w:pPr>
        <w:ind w:firstLine="567"/>
        <w:jc w:val="both"/>
        <w:rPr>
          <w:color w:val="333333"/>
          <w:sz w:val="28"/>
          <w:szCs w:val="28"/>
        </w:rPr>
      </w:pPr>
      <w:r w:rsidRPr="00921B42">
        <w:rPr>
          <w:color w:val="333333"/>
          <w:sz w:val="28"/>
          <w:szCs w:val="28"/>
        </w:rPr>
        <w:t xml:space="preserve">Даним рішенням визначено порядок розміщення вивісок у </w:t>
      </w:r>
      <w:r>
        <w:rPr>
          <w:color w:val="333333"/>
          <w:sz w:val="28"/>
          <w:szCs w:val="28"/>
        </w:rPr>
        <w:t>м.Івано-Франківську</w:t>
      </w:r>
      <w:r w:rsidRPr="00921B42">
        <w:rPr>
          <w:color w:val="333333"/>
          <w:sz w:val="28"/>
          <w:szCs w:val="28"/>
        </w:rPr>
        <w:t xml:space="preserve">, загальні вимоги до вивісок: розміри, матеріали, кольорове вирішення, стилістика, техніка безпеки, освітлення тощо, правові основи </w:t>
      </w:r>
      <w:r>
        <w:rPr>
          <w:color w:val="333333"/>
          <w:sz w:val="28"/>
          <w:szCs w:val="28"/>
        </w:rPr>
        <w:t xml:space="preserve">їх </w:t>
      </w:r>
      <w:r w:rsidRPr="00921B42">
        <w:rPr>
          <w:color w:val="333333"/>
          <w:sz w:val="28"/>
          <w:szCs w:val="28"/>
        </w:rPr>
        <w:t>встановлення</w:t>
      </w:r>
      <w:r w:rsidR="002848C4">
        <w:rPr>
          <w:color w:val="333333"/>
          <w:sz w:val="28"/>
          <w:szCs w:val="28"/>
        </w:rPr>
        <w:t xml:space="preserve"> та демонтажу</w:t>
      </w:r>
      <w:r>
        <w:rPr>
          <w:color w:val="333333"/>
          <w:sz w:val="28"/>
          <w:szCs w:val="28"/>
        </w:rPr>
        <w:t>.</w:t>
      </w:r>
    </w:p>
    <w:p w:rsidR="00D07D8F" w:rsidRDefault="00D07D8F" w:rsidP="00D07D8F">
      <w:pPr>
        <w:ind w:firstLine="567"/>
        <w:jc w:val="both"/>
        <w:rPr>
          <w:color w:val="333333"/>
          <w:sz w:val="28"/>
          <w:szCs w:val="28"/>
        </w:rPr>
      </w:pPr>
      <w:r w:rsidRPr="00921B42">
        <w:rPr>
          <w:color w:val="333333"/>
          <w:sz w:val="28"/>
          <w:szCs w:val="28"/>
        </w:rPr>
        <w:t>Також дане рішення дає змогу зробити процедуру розміщення вивісок більш чіткою, зрозумілою, запровадити єдині вимоги для всіх суб’єктів господарювання, органів з владними повноваженнями, що встановлюють вивіски)та максимально захистити інтереси територіальної громади та зберегти туристичну привабливість міста.</w:t>
      </w:r>
    </w:p>
    <w:p w:rsidR="00D07D8F" w:rsidRPr="00921B42" w:rsidRDefault="00D07D8F" w:rsidP="00D07D8F">
      <w:pPr>
        <w:ind w:firstLine="567"/>
        <w:jc w:val="both"/>
        <w:rPr>
          <w:color w:val="333333"/>
          <w:sz w:val="28"/>
          <w:szCs w:val="28"/>
        </w:rPr>
      </w:pPr>
    </w:p>
    <w:p w:rsidR="00E77A44" w:rsidRPr="00D07D8F" w:rsidRDefault="00E77A44" w:rsidP="00D4040F">
      <w:pPr>
        <w:pStyle w:val="rvps12"/>
        <w:shd w:val="clear" w:color="auto" w:fill="FFFFFF"/>
        <w:spacing w:before="0" w:beforeAutospacing="0" w:after="0" w:afterAutospacing="0"/>
        <w:ind w:left="786"/>
        <w:jc w:val="center"/>
        <w:textAlignment w:val="baseline"/>
        <w:rPr>
          <w:sz w:val="20"/>
          <w:szCs w:val="20"/>
          <w:lang w:val="uk-UA"/>
        </w:rPr>
      </w:pPr>
      <w:bookmarkStart w:id="11" w:name="n162"/>
      <w:bookmarkStart w:id="12" w:name="n163"/>
      <w:bookmarkEnd w:id="11"/>
      <w:bookmarkEnd w:id="12"/>
      <w:r w:rsidRPr="00D07D8F">
        <w:rPr>
          <w:rStyle w:val="rvts15"/>
          <w:b/>
          <w:bCs/>
          <w:sz w:val="28"/>
          <w:szCs w:val="28"/>
          <w:bdr w:val="none" w:sz="0" w:space="0" w:color="auto" w:frame="1"/>
        </w:rPr>
        <w:t>VI</w:t>
      </w:r>
      <w:r w:rsidRPr="00D07D8F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>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2848C4" w:rsidRDefault="002848C4" w:rsidP="00D07D8F">
      <w:pPr>
        <w:pStyle w:val="rvps12"/>
        <w:shd w:val="clear" w:color="auto" w:fill="FFFFFF"/>
        <w:spacing w:before="0" w:beforeAutospacing="0" w:after="0" w:afterAutospacing="0"/>
        <w:ind w:left="928"/>
        <w:jc w:val="both"/>
        <w:textAlignment w:val="baseline"/>
        <w:rPr>
          <w:rStyle w:val="rvts15"/>
          <w:bCs/>
          <w:sz w:val="28"/>
          <w:szCs w:val="28"/>
          <w:bdr w:val="none" w:sz="0" w:space="0" w:color="auto" w:frame="1"/>
          <w:lang w:val="uk-UA"/>
        </w:rPr>
      </w:pPr>
      <w:bookmarkStart w:id="13" w:name="n164"/>
      <w:bookmarkEnd w:id="13"/>
    </w:p>
    <w:p w:rsidR="00D07D8F" w:rsidRPr="00D07D8F" w:rsidRDefault="00D07D8F" w:rsidP="00D07D8F">
      <w:pPr>
        <w:pStyle w:val="rvps12"/>
        <w:shd w:val="clear" w:color="auto" w:fill="FFFFFF"/>
        <w:spacing w:before="0" w:beforeAutospacing="0" w:after="0" w:afterAutospacing="0"/>
        <w:ind w:left="928"/>
        <w:jc w:val="both"/>
        <w:textAlignment w:val="baseline"/>
        <w:rPr>
          <w:rStyle w:val="rvts15"/>
          <w:bCs/>
          <w:sz w:val="28"/>
          <w:szCs w:val="28"/>
          <w:bdr w:val="none" w:sz="0" w:space="0" w:color="auto" w:frame="1"/>
          <w:lang w:val="uk-UA"/>
        </w:rPr>
      </w:pPr>
      <w:r w:rsidRPr="00D07D8F">
        <w:rPr>
          <w:rStyle w:val="rvts15"/>
          <w:bCs/>
          <w:sz w:val="28"/>
          <w:szCs w:val="28"/>
          <w:bdr w:val="none" w:sz="0" w:space="0" w:color="auto" w:frame="1"/>
          <w:lang w:val="uk-UA"/>
        </w:rPr>
        <w:t>Відсутня.</w:t>
      </w:r>
    </w:p>
    <w:p w:rsidR="00D07D8F" w:rsidRDefault="00D07D8F" w:rsidP="00ED53C4">
      <w:pPr>
        <w:pStyle w:val="rvps12"/>
        <w:shd w:val="clear" w:color="auto" w:fill="FFFFFF"/>
        <w:spacing w:before="0" w:beforeAutospacing="0" w:after="0" w:afterAutospacing="0"/>
        <w:ind w:left="928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</w:p>
    <w:p w:rsidR="00ED53C4" w:rsidRDefault="00E77A44" w:rsidP="00ED53C4">
      <w:pPr>
        <w:pStyle w:val="rvps12"/>
        <w:shd w:val="clear" w:color="auto" w:fill="FFFFFF"/>
        <w:spacing w:before="0" w:beforeAutospacing="0" w:after="0" w:afterAutospacing="0"/>
        <w:ind w:left="928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CB7038">
        <w:rPr>
          <w:rStyle w:val="rvts15"/>
          <w:b/>
          <w:bCs/>
          <w:sz w:val="28"/>
          <w:szCs w:val="28"/>
          <w:bdr w:val="none" w:sz="0" w:space="0" w:color="auto" w:frame="1"/>
        </w:rPr>
        <w:lastRenderedPageBreak/>
        <w:t>VII. Обґрунтування запропонованого строку дії</w:t>
      </w:r>
    </w:p>
    <w:p w:rsidR="00E77A44" w:rsidRPr="00CB7038" w:rsidRDefault="00E77A44" w:rsidP="00ED53C4">
      <w:pPr>
        <w:pStyle w:val="rvps12"/>
        <w:shd w:val="clear" w:color="auto" w:fill="FFFFFF"/>
        <w:spacing w:before="0" w:beforeAutospacing="0" w:after="0" w:afterAutospacing="0"/>
        <w:ind w:left="928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CB7038">
        <w:rPr>
          <w:rStyle w:val="rvts15"/>
          <w:b/>
          <w:bCs/>
          <w:sz w:val="28"/>
          <w:szCs w:val="28"/>
          <w:bdr w:val="none" w:sz="0" w:space="0" w:color="auto" w:frame="1"/>
        </w:rPr>
        <w:t>регуляторного акта</w:t>
      </w:r>
    </w:p>
    <w:p w:rsidR="00CB7038" w:rsidRPr="00CB7038" w:rsidRDefault="000F5D09" w:rsidP="00ED53C4">
      <w:pPr>
        <w:pStyle w:val="rvps1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rvts15"/>
          <w:bCs/>
          <w:sz w:val="28"/>
          <w:szCs w:val="28"/>
          <w:bdr w:val="none" w:sz="0" w:space="0" w:color="auto" w:frame="1"/>
          <w:lang w:val="uk-UA"/>
        </w:rPr>
      </w:pPr>
      <w:r w:rsidRPr="00CB7038">
        <w:rPr>
          <w:rStyle w:val="rvts15"/>
          <w:bCs/>
          <w:sz w:val="28"/>
          <w:szCs w:val="28"/>
          <w:bdr w:val="none" w:sz="0" w:space="0" w:color="auto" w:frame="1"/>
          <w:lang w:val="uk-UA"/>
        </w:rPr>
        <w:t xml:space="preserve">Строк дії регуляторного акта </w:t>
      </w:r>
      <w:r w:rsidR="00ED53C4">
        <w:rPr>
          <w:bCs/>
          <w:sz w:val="28"/>
          <w:szCs w:val="28"/>
          <w:lang w:val="uk-UA"/>
        </w:rPr>
        <w:t xml:space="preserve">буде </w:t>
      </w:r>
      <w:r w:rsidRPr="00CB7038">
        <w:rPr>
          <w:rStyle w:val="rvts15"/>
          <w:bCs/>
          <w:sz w:val="28"/>
          <w:szCs w:val="28"/>
          <w:bdr w:val="none" w:sz="0" w:space="0" w:color="auto" w:frame="1"/>
          <w:lang w:val="uk-UA"/>
        </w:rPr>
        <w:t xml:space="preserve">визначений потребою </w:t>
      </w:r>
      <w:r w:rsidR="00CB7038" w:rsidRPr="00CB7038">
        <w:rPr>
          <w:rStyle w:val="rvts15"/>
          <w:bCs/>
          <w:sz w:val="28"/>
          <w:szCs w:val="28"/>
          <w:bdr w:val="none" w:sz="0" w:space="0" w:color="auto" w:frame="1"/>
          <w:lang w:val="uk-UA"/>
        </w:rPr>
        <w:t>погодження паспортів вивісок</w:t>
      </w:r>
      <w:r w:rsidR="00ED53C4">
        <w:rPr>
          <w:rStyle w:val="rvts15"/>
          <w:bCs/>
          <w:sz w:val="28"/>
          <w:szCs w:val="28"/>
          <w:bdr w:val="none" w:sz="0" w:space="0" w:color="auto" w:frame="1"/>
          <w:lang w:val="uk-UA"/>
        </w:rPr>
        <w:t xml:space="preserve">, а також </w:t>
      </w:r>
      <w:r w:rsidR="00ED53C4" w:rsidRPr="0053006C">
        <w:rPr>
          <w:bCs/>
          <w:sz w:val="28"/>
          <w:szCs w:val="28"/>
        </w:rPr>
        <w:t>до внесення змін у законодавчі акти вищої юридичної сили</w:t>
      </w:r>
      <w:r w:rsidR="00CB7038" w:rsidRPr="00CB7038">
        <w:rPr>
          <w:rStyle w:val="rvts15"/>
          <w:bCs/>
          <w:sz w:val="28"/>
          <w:szCs w:val="28"/>
          <w:bdr w:val="none" w:sz="0" w:space="0" w:color="auto" w:frame="1"/>
          <w:lang w:val="uk-UA"/>
        </w:rPr>
        <w:t>.</w:t>
      </w:r>
    </w:p>
    <w:p w:rsidR="00EB2EF5" w:rsidRPr="00ED53C4" w:rsidRDefault="00E77A44" w:rsidP="00EB2EF5">
      <w:pPr>
        <w:pStyle w:val="rvps12"/>
        <w:shd w:val="clear" w:color="auto" w:fill="FFFFFF"/>
        <w:spacing w:before="0" w:beforeAutospacing="0" w:after="0" w:afterAutospacing="0"/>
        <w:ind w:left="928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bookmarkStart w:id="14" w:name="n167"/>
      <w:bookmarkStart w:id="15" w:name="n168"/>
      <w:bookmarkEnd w:id="14"/>
      <w:bookmarkEnd w:id="15"/>
      <w:r w:rsidRPr="00ED53C4">
        <w:rPr>
          <w:rStyle w:val="rvts15"/>
          <w:b/>
          <w:bCs/>
          <w:sz w:val="28"/>
          <w:szCs w:val="28"/>
          <w:bdr w:val="none" w:sz="0" w:space="0" w:color="auto" w:frame="1"/>
        </w:rPr>
        <w:t>VIII. Визначення показників</w:t>
      </w:r>
    </w:p>
    <w:p w:rsidR="00E77A44" w:rsidRPr="00ED53C4" w:rsidRDefault="00E77A44" w:rsidP="00EB2EF5">
      <w:pPr>
        <w:pStyle w:val="rvps12"/>
        <w:shd w:val="clear" w:color="auto" w:fill="FFFFFF"/>
        <w:spacing w:before="0" w:beforeAutospacing="0" w:after="0" w:afterAutospacing="0"/>
        <w:ind w:left="928"/>
        <w:jc w:val="center"/>
        <w:textAlignment w:val="baseline"/>
        <w:rPr>
          <w:rStyle w:val="rvts15"/>
          <w:sz w:val="20"/>
          <w:szCs w:val="20"/>
        </w:rPr>
      </w:pPr>
      <w:r w:rsidRPr="00ED53C4">
        <w:rPr>
          <w:rStyle w:val="rvts15"/>
          <w:b/>
          <w:bCs/>
          <w:sz w:val="28"/>
          <w:szCs w:val="28"/>
          <w:bdr w:val="none" w:sz="0" w:space="0" w:color="auto" w:frame="1"/>
        </w:rPr>
        <w:t xml:space="preserve"> результативності дії регуляторного акта</w:t>
      </w:r>
    </w:p>
    <w:p w:rsidR="00EB2EF5" w:rsidRPr="00EB2EF5" w:rsidRDefault="00EB2EF5" w:rsidP="00EB2EF5">
      <w:pPr>
        <w:pStyle w:val="a6"/>
        <w:ind w:left="0" w:firstLine="567"/>
        <w:jc w:val="both"/>
        <w:rPr>
          <w:bCs/>
          <w:sz w:val="28"/>
          <w:szCs w:val="28"/>
        </w:rPr>
      </w:pPr>
      <w:r w:rsidRPr="00EB2EF5">
        <w:rPr>
          <w:bCs/>
          <w:sz w:val="28"/>
          <w:szCs w:val="28"/>
        </w:rPr>
        <w:t>Проект буде оприлюднений на офіційному сайті виконавчого комітету Івано-Франківської міської ради: www.mvk.if.ua</w:t>
      </w:r>
    </w:p>
    <w:p w:rsidR="009D3421" w:rsidRDefault="00EB2EF5" w:rsidP="00EB2EF5">
      <w:pPr>
        <w:pStyle w:val="a6"/>
        <w:ind w:left="0" w:firstLine="567"/>
        <w:jc w:val="both"/>
        <w:rPr>
          <w:bCs/>
          <w:sz w:val="28"/>
          <w:szCs w:val="28"/>
          <w:lang w:val="uk-UA"/>
        </w:rPr>
      </w:pPr>
      <w:r w:rsidRPr="00716FE5">
        <w:rPr>
          <w:bCs/>
          <w:sz w:val="28"/>
          <w:szCs w:val="28"/>
        </w:rPr>
        <w:t>Показниками результативності проекту</w:t>
      </w:r>
      <w:r w:rsidR="009D3421">
        <w:rPr>
          <w:bCs/>
          <w:sz w:val="28"/>
          <w:szCs w:val="28"/>
          <w:lang w:val="uk-UA"/>
        </w:rPr>
        <w:t xml:space="preserve"> буде </w:t>
      </w:r>
      <w:r>
        <w:rPr>
          <w:bCs/>
          <w:sz w:val="28"/>
          <w:szCs w:val="28"/>
          <w:lang w:val="uk-UA"/>
        </w:rPr>
        <w:t xml:space="preserve">кількість </w:t>
      </w:r>
      <w:r w:rsidR="009D3421">
        <w:rPr>
          <w:bCs/>
          <w:sz w:val="28"/>
          <w:szCs w:val="28"/>
          <w:lang w:val="uk-UA"/>
        </w:rPr>
        <w:t xml:space="preserve">погоджених паспортів </w:t>
      </w:r>
      <w:r>
        <w:rPr>
          <w:bCs/>
          <w:sz w:val="28"/>
          <w:szCs w:val="28"/>
          <w:lang w:val="uk-UA"/>
        </w:rPr>
        <w:t>вивісок</w:t>
      </w:r>
      <w:r w:rsidR="009D3421">
        <w:rPr>
          <w:bCs/>
          <w:sz w:val="28"/>
          <w:szCs w:val="28"/>
          <w:lang w:val="uk-UA"/>
        </w:rPr>
        <w:t>.</w:t>
      </w:r>
    </w:p>
    <w:p w:rsidR="00CB7038" w:rsidRDefault="00CB7038" w:rsidP="00EB2EF5">
      <w:pPr>
        <w:pStyle w:val="rvps12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bookmarkStart w:id="16" w:name="n170"/>
      <w:bookmarkEnd w:id="16"/>
    </w:p>
    <w:p w:rsidR="00E77A44" w:rsidRPr="00CB7038" w:rsidRDefault="00E77A44" w:rsidP="00DD29F4">
      <w:pPr>
        <w:pStyle w:val="rvps12"/>
        <w:shd w:val="clear" w:color="auto" w:fill="FFFFFF"/>
        <w:spacing w:before="0" w:beforeAutospacing="0" w:after="0" w:afterAutospacing="0"/>
        <w:ind w:left="786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CB7038">
        <w:rPr>
          <w:rStyle w:val="rvts15"/>
          <w:b/>
          <w:bCs/>
          <w:sz w:val="28"/>
          <w:szCs w:val="28"/>
          <w:bdr w:val="none" w:sz="0" w:space="0" w:color="auto" w:frame="1"/>
        </w:rPr>
        <w:t>IX. Визначення заходів, за допомогою яких здійснюватиметься відстеження результативності дії регуляторного акта</w:t>
      </w:r>
    </w:p>
    <w:p w:rsidR="00DD29F4" w:rsidRPr="00CB7038" w:rsidRDefault="00DD29F4" w:rsidP="00DD29F4">
      <w:pPr>
        <w:pStyle w:val="rvps12"/>
        <w:shd w:val="clear" w:color="auto" w:fill="FFFFFF"/>
        <w:spacing w:before="0" w:beforeAutospacing="0" w:after="0" w:afterAutospacing="0"/>
        <w:ind w:left="786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</w:p>
    <w:p w:rsidR="00DD29F4" w:rsidRPr="00CB7038" w:rsidRDefault="00DD29F4" w:rsidP="00CB7038">
      <w:pPr>
        <w:ind w:firstLine="567"/>
        <w:jc w:val="both"/>
        <w:rPr>
          <w:sz w:val="26"/>
          <w:szCs w:val="26"/>
        </w:rPr>
      </w:pPr>
      <w:r w:rsidRPr="00CB7038">
        <w:rPr>
          <w:sz w:val="26"/>
          <w:szCs w:val="26"/>
        </w:rPr>
        <w:t>Рекомендований  строк повторного дослідження – 1 рік після набрання чинності рішення.</w:t>
      </w:r>
    </w:p>
    <w:p w:rsidR="00DD29F4" w:rsidRPr="00CB7038" w:rsidRDefault="00DD29F4" w:rsidP="00CB7038">
      <w:pPr>
        <w:ind w:firstLine="567"/>
        <w:jc w:val="both"/>
        <w:rPr>
          <w:sz w:val="26"/>
          <w:szCs w:val="26"/>
        </w:rPr>
      </w:pPr>
      <w:r w:rsidRPr="00CB7038">
        <w:rPr>
          <w:sz w:val="26"/>
          <w:szCs w:val="26"/>
        </w:rPr>
        <w:t>Метод проведення відстеження результативності – статистичний.</w:t>
      </w:r>
    </w:p>
    <w:p w:rsidR="00CB7038" w:rsidRDefault="000F5D09" w:rsidP="00CB7038">
      <w:pPr>
        <w:ind w:firstLine="567"/>
        <w:jc w:val="both"/>
        <w:rPr>
          <w:sz w:val="26"/>
          <w:szCs w:val="26"/>
        </w:rPr>
      </w:pPr>
      <w:r w:rsidRPr="00CB7038">
        <w:rPr>
          <w:sz w:val="28"/>
          <w:szCs w:val="28"/>
        </w:rPr>
        <w:t>Для участі у проведенні відстеження залучено</w:t>
      </w:r>
      <w:r w:rsidRPr="00CB7038">
        <w:rPr>
          <w:sz w:val="20"/>
          <w:szCs w:val="20"/>
        </w:rPr>
        <w:t xml:space="preserve"> </w:t>
      </w:r>
      <w:r w:rsidRPr="00CB7038">
        <w:rPr>
          <w:sz w:val="26"/>
          <w:szCs w:val="26"/>
        </w:rPr>
        <w:t>Департамент містобудування</w:t>
      </w:r>
      <w:r w:rsidR="00CB7038">
        <w:rPr>
          <w:sz w:val="26"/>
          <w:szCs w:val="26"/>
        </w:rPr>
        <w:t xml:space="preserve">, </w:t>
      </w:r>
      <w:r w:rsidRPr="00CB7038">
        <w:rPr>
          <w:sz w:val="26"/>
          <w:szCs w:val="26"/>
        </w:rPr>
        <w:t xml:space="preserve">архітектури </w:t>
      </w:r>
      <w:r w:rsidR="00CB7038">
        <w:rPr>
          <w:sz w:val="26"/>
          <w:szCs w:val="26"/>
        </w:rPr>
        <w:t>та культурної спадщини.</w:t>
      </w:r>
      <w:r w:rsidRPr="00CB7038">
        <w:rPr>
          <w:sz w:val="26"/>
          <w:szCs w:val="26"/>
        </w:rPr>
        <w:t xml:space="preserve"> Відстеження результативності здійснюватиметься на підставі статистичних даних Департаменту </w:t>
      </w:r>
      <w:r w:rsidR="00CB7038" w:rsidRPr="00CB7038">
        <w:rPr>
          <w:sz w:val="26"/>
          <w:szCs w:val="26"/>
        </w:rPr>
        <w:t>містобудування</w:t>
      </w:r>
      <w:r w:rsidR="00CB7038">
        <w:rPr>
          <w:sz w:val="26"/>
          <w:szCs w:val="26"/>
        </w:rPr>
        <w:t xml:space="preserve">, </w:t>
      </w:r>
      <w:r w:rsidR="00CB7038" w:rsidRPr="00CB7038">
        <w:rPr>
          <w:sz w:val="26"/>
          <w:szCs w:val="26"/>
        </w:rPr>
        <w:t xml:space="preserve">архітектури </w:t>
      </w:r>
      <w:r w:rsidR="00CB7038">
        <w:rPr>
          <w:sz w:val="26"/>
          <w:szCs w:val="26"/>
        </w:rPr>
        <w:t>та культурної спадщини міської ради.</w:t>
      </w:r>
    </w:p>
    <w:p w:rsidR="00CB7038" w:rsidRPr="000F5D09" w:rsidRDefault="00CB7038" w:rsidP="00CB7038">
      <w:pPr>
        <w:ind w:firstLine="567"/>
        <w:jc w:val="both"/>
        <w:rPr>
          <w:sz w:val="26"/>
          <w:szCs w:val="26"/>
        </w:rPr>
      </w:pPr>
    </w:p>
    <w:p w:rsidR="00B14A95" w:rsidRDefault="00B14A95" w:rsidP="00A83A5F">
      <w:pPr>
        <w:tabs>
          <w:tab w:val="left" w:pos="7088"/>
        </w:tabs>
        <w:ind w:firstLine="851"/>
        <w:jc w:val="both"/>
        <w:rPr>
          <w:color w:val="333333"/>
          <w:sz w:val="28"/>
          <w:szCs w:val="28"/>
        </w:rPr>
      </w:pPr>
    </w:p>
    <w:p w:rsidR="00B14A95" w:rsidRDefault="00B14A95" w:rsidP="00A83A5F">
      <w:pPr>
        <w:tabs>
          <w:tab w:val="left" w:pos="7088"/>
        </w:tabs>
        <w:ind w:firstLine="851"/>
        <w:jc w:val="both"/>
        <w:rPr>
          <w:color w:val="333333"/>
          <w:sz w:val="28"/>
          <w:szCs w:val="28"/>
        </w:rPr>
      </w:pPr>
    </w:p>
    <w:p w:rsidR="00B14A95" w:rsidRPr="00EB5FC6" w:rsidRDefault="00B14A95" w:rsidP="00B14A9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EB5FC6">
        <w:rPr>
          <w:sz w:val="28"/>
          <w:szCs w:val="28"/>
        </w:rPr>
        <w:t>иректор Департаменту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35CFB">
        <w:rPr>
          <w:sz w:val="28"/>
          <w:szCs w:val="28"/>
          <w:lang w:val="ru-RU"/>
        </w:rPr>
        <w:tab/>
      </w:r>
      <w:r w:rsidRPr="00135CFB">
        <w:rPr>
          <w:sz w:val="28"/>
          <w:szCs w:val="28"/>
          <w:lang w:val="ru-RU"/>
        </w:rPr>
        <w:tab/>
      </w:r>
      <w:r>
        <w:rPr>
          <w:sz w:val="28"/>
          <w:szCs w:val="28"/>
        </w:rPr>
        <w:t>Д.Нижник</w:t>
      </w:r>
      <w:r w:rsidRPr="00EB5FC6">
        <w:rPr>
          <w:sz w:val="28"/>
          <w:szCs w:val="28"/>
        </w:rPr>
        <w:t xml:space="preserve"> </w:t>
      </w:r>
    </w:p>
    <w:p w:rsidR="00B14A95" w:rsidRDefault="00B14A95" w:rsidP="00B14A95">
      <w:pPr>
        <w:ind w:left="1985" w:right="1" w:firstLine="567"/>
        <w:jc w:val="both"/>
        <w:rPr>
          <w:sz w:val="28"/>
          <w:szCs w:val="28"/>
        </w:rPr>
      </w:pPr>
    </w:p>
    <w:p w:rsidR="00B14A95" w:rsidRDefault="00B14A95" w:rsidP="00A83A5F">
      <w:pPr>
        <w:tabs>
          <w:tab w:val="left" w:pos="7088"/>
        </w:tabs>
        <w:ind w:firstLine="851"/>
        <w:jc w:val="both"/>
        <w:rPr>
          <w:b/>
          <w:color w:val="333333"/>
          <w:sz w:val="28"/>
          <w:szCs w:val="28"/>
        </w:rPr>
      </w:pPr>
    </w:p>
    <w:sectPr w:rsidR="00B14A95" w:rsidSect="00866218">
      <w:headerReference w:type="default" r:id="rId8"/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98B" w:rsidRDefault="0008198B" w:rsidP="00003D28">
      <w:r>
        <w:separator/>
      </w:r>
    </w:p>
  </w:endnote>
  <w:endnote w:type="continuationSeparator" w:id="1">
    <w:p w:rsidR="0008198B" w:rsidRDefault="0008198B" w:rsidP="00003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98B" w:rsidRDefault="0008198B" w:rsidP="00003D28">
      <w:r>
        <w:separator/>
      </w:r>
    </w:p>
  </w:footnote>
  <w:footnote w:type="continuationSeparator" w:id="1">
    <w:p w:rsidR="0008198B" w:rsidRDefault="0008198B" w:rsidP="00003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094"/>
    </w:sdtPr>
    <w:sdtContent>
      <w:p w:rsidR="00003D28" w:rsidRDefault="00383C28">
        <w:pPr>
          <w:pStyle w:val="a4"/>
          <w:jc w:val="center"/>
        </w:pPr>
        <w:fldSimple w:instr=" PAGE   \* MERGEFORMAT ">
          <w:r w:rsidR="00B14A95">
            <w:rPr>
              <w:noProof/>
            </w:rPr>
            <w:t>5</w:t>
          </w:r>
        </w:fldSimple>
      </w:p>
    </w:sdtContent>
  </w:sdt>
  <w:p w:rsidR="00003D28" w:rsidRDefault="00003D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1135"/>
    <w:multiLevelType w:val="hybridMultilevel"/>
    <w:tmpl w:val="328C71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451117"/>
    <w:multiLevelType w:val="hybridMultilevel"/>
    <w:tmpl w:val="59188542"/>
    <w:lvl w:ilvl="0" w:tplc="D0E45742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1" w:tplc="F95843D2">
      <w:numFmt w:val="none"/>
      <w:lvlText w:val=""/>
      <w:lvlJc w:val="left"/>
      <w:pPr>
        <w:tabs>
          <w:tab w:val="num" w:pos="360"/>
        </w:tabs>
      </w:pPr>
    </w:lvl>
    <w:lvl w:ilvl="2" w:tplc="52D2B9B4">
      <w:numFmt w:val="none"/>
      <w:lvlText w:val=""/>
      <w:lvlJc w:val="left"/>
      <w:pPr>
        <w:tabs>
          <w:tab w:val="num" w:pos="360"/>
        </w:tabs>
      </w:pPr>
    </w:lvl>
    <w:lvl w:ilvl="3" w:tplc="A22AD0B2">
      <w:numFmt w:val="none"/>
      <w:lvlText w:val=""/>
      <w:lvlJc w:val="left"/>
      <w:pPr>
        <w:tabs>
          <w:tab w:val="num" w:pos="360"/>
        </w:tabs>
      </w:pPr>
    </w:lvl>
    <w:lvl w:ilvl="4" w:tplc="F66C2742">
      <w:numFmt w:val="none"/>
      <w:lvlText w:val=""/>
      <w:lvlJc w:val="left"/>
      <w:pPr>
        <w:tabs>
          <w:tab w:val="num" w:pos="360"/>
        </w:tabs>
      </w:pPr>
    </w:lvl>
    <w:lvl w:ilvl="5" w:tplc="63260B8C">
      <w:numFmt w:val="none"/>
      <w:lvlText w:val=""/>
      <w:lvlJc w:val="left"/>
      <w:pPr>
        <w:tabs>
          <w:tab w:val="num" w:pos="360"/>
        </w:tabs>
      </w:pPr>
    </w:lvl>
    <w:lvl w:ilvl="6" w:tplc="4358E0B4">
      <w:numFmt w:val="none"/>
      <w:lvlText w:val=""/>
      <w:lvlJc w:val="left"/>
      <w:pPr>
        <w:tabs>
          <w:tab w:val="num" w:pos="360"/>
        </w:tabs>
      </w:pPr>
    </w:lvl>
    <w:lvl w:ilvl="7" w:tplc="F858E6BE">
      <w:numFmt w:val="none"/>
      <w:lvlText w:val=""/>
      <w:lvlJc w:val="left"/>
      <w:pPr>
        <w:tabs>
          <w:tab w:val="num" w:pos="360"/>
        </w:tabs>
      </w:pPr>
    </w:lvl>
    <w:lvl w:ilvl="8" w:tplc="974A5DA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C9736BB"/>
    <w:multiLevelType w:val="hybridMultilevel"/>
    <w:tmpl w:val="2604D570"/>
    <w:lvl w:ilvl="0" w:tplc="1438E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CD2084B"/>
    <w:multiLevelType w:val="hybridMultilevel"/>
    <w:tmpl w:val="FF7CE046"/>
    <w:lvl w:ilvl="0" w:tplc="695435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6D804FC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EB432AF"/>
    <w:multiLevelType w:val="hybridMultilevel"/>
    <w:tmpl w:val="C53AD9CA"/>
    <w:lvl w:ilvl="0" w:tplc="96E0809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53A06"/>
    <w:multiLevelType w:val="hybridMultilevel"/>
    <w:tmpl w:val="BA84E5BE"/>
    <w:lvl w:ilvl="0" w:tplc="F1BAED84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1" w:tplc="1A242D0E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283343"/>
    <w:multiLevelType w:val="hybridMultilevel"/>
    <w:tmpl w:val="D8DC26A0"/>
    <w:lvl w:ilvl="0" w:tplc="3378CA70">
      <w:start w:val="5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A223E47"/>
    <w:multiLevelType w:val="hybridMultilevel"/>
    <w:tmpl w:val="3B00DA12"/>
    <w:lvl w:ilvl="0" w:tplc="8BF6B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18DDA0">
      <w:start w:val="1"/>
      <w:numFmt w:val="decimal"/>
      <w:lvlText w:val="%2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2" w:tplc="ED2EBF28">
      <w:numFmt w:val="none"/>
      <w:lvlText w:val=""/>
      <w:lvlJc w:val="left"/>
      <w:pPr>
        <w:tabs>
          <w:tab w:val="num" w:pos="360"/>
        </w:tabs>
      </w:pPr>
    </w:lvl>
    <w:lvl w:ilvl="3" w:tplc="EE5E4D10">
      <w:numFmt w:val="none"/>
      <w:lvlText w:val=""/>
      <w:lvlJc w:val="left"/>
      <w:pPr>
        <w:tabs>
          <w:tab w:val="num" w:pos="360"/>
        </w:tabs>
      </w:pPr>
    </w:lvl>
    <w:lvl w:ilvl="4" w:tplc="E0DE5146">
      <w:numFmt w:val="none"/>
      <w:lvlText w:val=""/>
      <w:lvlJc w:val="left"/>
      <w:pPr>
        <w:tabs>
          <w:tab w:val="num" w:pos="360"/>
        </w:tabs>
      </w:pPr>
    </w:lvl>
    <w:lvl w:ilvl="5" w:tplc="5F7207EA">
      <w:numFmt w:val="none"/>
      <w:lvlText w:val=""/>
      <w:lvlJc w:val="left"/>
      <w:pPr>
        <w:tabs>
          <w:tab w:val="num" w:pos="360"/>
        </w:tabs>
      </w:pPr>
    </w:lvl>
    <w:lvl w:ilvl="6" w:tplc="EF5C2DFC">
      <w:numFmt w:val="none"/>
      <w:lvlText w:val=""/>
      <w:lvlJc w:val="left"/>
      <w:pPr>
        <w:tabs>
          <w:tab w:val="num" w:pos="360"/>
        </w:tabs>
      </w:pPr>
    </w:lvl>
    <w:lvl w:ilvl="7" w:tplc="86BA173A">
      <w:numFmt w:val="none"/>
      <w:lvlText w:val=""/>
      <w:lvlJc w:val="left"/>
      <w:pPr>
        <w:tabs>
          <w:tab w:val="num" w:pos="360"/>
        </w:tabs>
      </w:pPr>
    </w:lvl>
    <w:lvl w:ilvl="8" w:tplc="553A2B1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2D21D8F"/>
    <w:multiLevelType w:val="hybridMultilevel"/>
    <w:tmpl w:val="9BD82D64"/>
    <w:lvl w:ilvl="0" w:tplc="695435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6D804FC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57B11DA"/>
    <w:multiLevelType w:val="hybridMultilevel"/>
    <w:tmpl w:val="AA3AF602"/>
    <w:lvl w:ilvl="0" w:tplc="DEA2992C">
      <w:start w:val="6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2D1672C5"/>
    <w:multiLevelType w:val="hybridMultilevel"/>
    <w:tmpl w:val="573E567A"/>
    <w:lvl w:ilvl="0" w:tplc="88F214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770BAF"/>
    <w:multiLevelType w:val="hybridMultilevel"/>
    <w:tmpl w:val="328C71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7206266"/>
    <w:multiLevelType w:val="hybridMultilevel"/>
    <w:tmpl w:val="70D4E1E8"/>
    <w:lvl w:ilvl="0" w:tplc="0419000F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D7B1D6D"/>
    <w:multiLevelType w:val="hybridMultilevel"/>
    <w:tmpl w:val="8AB60246"/>
    <w:lvl w:ilvl="0" w:tplc="82E2975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6BF2785"/>
    <w:multiLevelType w:val="hybridMultilevel"/>
    <w:tmpl w:val="AE5212B4"/>
    <w:lvl w:ilvl="0" w:tplc="9734195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A59547F"/>
    <w:multiLevelType w:val="hybridMultilevel"/>
    <w:tmpl w:val="328C71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0CC3665"/>
    <w:multiLevelType w:val="hybridMultilevel"/>
    <w:tmpl w:val="328C71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8EC64D3"/>
    <w:multiLevelType w:val="hybridMultilevel"/>
    <w:tmpl w:val="21E47820"/>
    <w:lvl w:ilvl="0" w:tplc="64244172">
      <w:start w:val="8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6EE46588"/>
    <w:multiLevelType w:val="hybridMultilevel"/>
    <w:tmpl w:val="096CEF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00F0D"/>
    <w:multiLevelType w:val="hybridMultilevel"/>
    <w:tmpl w:val="49CEE500"/>
    <w:lvl w:ilvl="0" w:tplc="83363F2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732647C1"/>
    <w:multiLevelType w:val="multilevel"/>
    <w:tmpl w:val="DD302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8B4E5F"/>
    <w:multiLevelType w:val="hybridMultilevel"/>
    <w:tmpl w:val="328C71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9E8005D"/>
    <w:multiLevelType w:val="hybridMultilevel"/>
    <w:tmpl w:val="86B0A58A"/>
    <w:lvl w:ilvl="0" w:tplc="EE98C6DC">
      <w:start w:val="2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3">
    <w:nsid w:val="7BAC5234"/>
    <w:multiLevelType w:val="hybridMultilevel"/>
    <w:tmpl w:val="BA84E5BE"/>
    <w:lvl w:ilvl="0" w:tplc="FF9CA2C0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1" w:tplc="1A242D0E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4B3D6B"/>
    <w:multiLevelType w:val="multilevel"/>
    <w:tmpl w:val="2C40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15"/>
  </w:num>
  <w:num w:numId="8">
    <w:abstractNumId w:val="11"/>
  </w:num>
  <w:num w:numId="9">
    <w:abstractNumId w:val="14"/>
  </w:num>
  <w:num w:numId="10">
    <w:abstractNumId w:val="12"/>
  </w:num>
  <w:num w:numId="11">
    <w:abstractNumId w:val="9"/>
  </w:num>
  <w:num w:numId="12">
    <w:abstractNumId w:val="6"/>
  </w:num>
  <w:num w:numId="13">
    <w:abstractNumId w:val="22"/>
  </w:num>
  <w:num w:numId="14">
    <w:abstractNumId w:val="13"/>
  </w:num>
  <w:num w:numId="15">
    <w:abstractNumId w:val="4"/>
  </w:num>
  <w:num w:numId="16">
    <w:abstractNumId w:val="2"/>
  </w:num>
  <w:num w:numId="17">
    <w:abstractNumId w:val="18"/>
  </w:num>
  <w:num w:numId="18">
    <w:abstractNumId w:val="24"/>
  </w:num>
  <w:num w:numId="19">
    <w:abstractNumId w:val="20"/>
  </w:num>
  <w:num w:numId="20">
    <w:abstractNumId w:val="19"/>
  </w:num>
  <w:num w:numId="21">
    <w:abstractNumId w:val="10"/>
  </w:num>
  <w:num w:numId="22">
    <w:abstractNumId w:val="17"/>
  </w:num>
  <w:num w:numId="23">
    <w:abstractNumId w:val="0"/>
  </w:num>
  <w:num w:numId="24">
    <w:abstractNumId w:val="21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DFB"/>
    <w:rsid w:val="00003D28"/>
    <w:rsid w:val="000105F2"/>
    <w:rsid w:val="0001411A"/>
    <w:rsid w:val="000149D3"/>
    <w:rsid w:val="00061223"/>
    <w:rsid w:val="0006268B"/>
    <w:rsid w:val="000675E2"/>
    <w:rsid w:val="0008198B"/>
    <w:rsid w:val="00092EA0"/>
    <w:rsid w:val="000973A4"/>
    <w:rsid w:val="000B1D45"/>
    <w:rsid w:val="000D6305"/>
    <w:rsid w:val="000E0114"/>
    <w:rsid w:val="000F3338"/>
    <w:rsid w:val="000F5D09"/>
    <w:rsid w:val="000F5E1F"/>
    <w:rsid w:val="0011107D"/>
    <w:rsid w:val="001339F0"/>
    <w:rsid w:val="00136AAE"/>
    <w:rsid w:val="0019686D"/>
    <w:rsid w:val="001A7DDF"/>
    <w:rsid w:val="001D247D"/>
    <w:rsid w:val="001E37C2"/>
    <w:rsid w:val="001E7D2B"/>
    <w:rsid w:val="001F2CB6"/>
    <w:rsid w:val="001F7799"/>
    <w:rsid w:val="00210E98"/>
    <w:rsid w:val="0021402A"/>
    <w:rsid w:val="0022230E"/>
    <w:rsid w:val="002230B9"/>
    <w:rsid w:val="00237612"/>
    <w:rsid w:val="00242B50"/>
    <w:rsid w:val="00245BE3"/>
    <w:rsid w:val="00256D75"/>
    <w:rsid w:val="00260256"/>
    <w:rsid w:val="002762EA"/>
    <w:rsid w:val="002848C4"/>
    <w:rsid w:val="002900B3"/>
    <w:rsid w:val="0029085E"/>
    <w:rsid w:val="002A20D4"/>
    <w:rsid w:val="002B5E36"/>
    <w:rsid w:val="002B626A"/>
    <w:rsid w:val="002C2A37"/>
    <w:rsid w:val="002D0E4D"/>
    <w:rsid w:val="002F7BCC"/>
    <w:rsid w:val="00310138"/>
    <w:rsid w:val="00317978"/>
    <w:rsid w:val="0035297F"/>
    <w:rsid w:val="0036347F"/>
    <w:rsid w:val="00363B9B"/>
    <w:rsid w:val="003641D4"/>
    <w:rsid w:val="003666C5"/>
    <w:rsid w:val="003722F7"/>
    <w:rsid w:val="00374964"/>
    <w:rsid w:val="00383C28"/>
    <w:rsid w:val="00394182"/>
    <w:rsid w:val="003B5396"/>
    <w:rsid w:val="003B5F8D"/>
    <w:rsid w:val="003C03B9"/>
    <w:rsid w:val="003D5B73"/>
    <w:rsid w:val="003D7C2A"/>
    <w:rsid w:val="003E10EA"/>
    <w:rsid w:val="003F4D76"/>
    <w:rsid w:val="0042532C"/>
    <w:rsid w:val="00441273"/>
    <w:rsid w:val="00451EB5"/>
    <w:rsid w:val="00452C79"/>
    <w:rsid w:val="0045546C"/>
    <w:rsid w:val="0047143C"/>
    <w:rsid w:val="0048027B"/>
    <w:rsid w:val="0048128C"/>
    <w:rsid w:val="004B751A"/>
    <w:rsid w:val="004D6585"/>
    <w:rsid w:val="004F6790"/>
    <w:rsid w:val="00501D72"/>
    <w:rsid w:val="0051106C"/>
    <w:rsid w:val="00561C36"/>
    <w:rsid w:val="00564EF2"/>
    <w:rsid w:val="00595223"/>
    <w:rsid w:val="005D14F1"/>
    <w:rsid w:val="005E28EF"/>
    <w:rsid w:val="005E4646"/>
    <w:rsid w:val="005E7E76"/>
    <w:rsid w:val="006010E4"/>
    <w:rsid w:val="0062239B"/>
    <w:rsid w:val="00642B3F"/>
    <w:rsid w:val="006722D9"/>
    <w:rsid w:val="00677098"/>
    <w:rsid w:val="006C0A47"/>
    <w:rsid w:val="006C0DA6"/>
    <w:rsid w:val="006C3B86"/>
    <w:rsid w:val="006D0622"/>
    <w:rsid w:val="00711BF6"/>
    <w:rsid w:val="0071720B"/>
    <w:rsid w:val="007375DA"/>
    <w:rsid w:val="007428C2"/>
    <w:rsid w:val="007540E1"/>
    <w:rsid w:val="0076265B"/>
    <w:rsid w:val="0076403E"/>
    <w:rsid w:val="00771A5D"/>
    <w:rsid w:val="007741D9"/>
    <w:rsid w:val="007746B8"/>
    <w:rsid w:val="007772E0"/>
    <w:rsid w:val="0079366C"/>
    <w:rsid w:val="007A38EB"/>
    <w:rsid w:val="007B5F27"/>
    <w:rsid w:val="007C2D90"/>
    <w:rsid w:val="007D6D66"/>
    <w:rsid w:val="007E1E4D"/>
    <w:rsid w:val="00820528"/>
    <w:rsid w:val="0082558D"/>
    <w:rsid w:val="00841CC4"/>
    <w:rsid w:val="008440C3"/>
    <w:rsid w:val="008509C8"/>
    <w:rsid w:val="00855404"/>
    <w:rsid w:val="00866218"/>
    <w:rsid w:val="00870516"/>
    <w:rsid w:val="008708D2"/>
    <w:rsid w:val="00875CC6"/>
    <w:rsid w:val="00882B33"/>
    <w:rsid w:val="008916AD"/>
    <w:rsid w:val="008A44D2"/>
    <w:rsid w:val="008A6A75"/>
    <w:rsid w:val="008C6ABC"/>
    <w:rsid w:val="008D078B"/>
    <w:rsid w:val="008D7F79"/>
    <w:rsid w:val="008E278B"/>
    <w:rsid w:val="008F2A63"/>
    <w:rsid w:val="00905AA9"/>
    <w:rsid w:val="00910C2D"/>
    <w:rsid w:val="00913138"/>
    <w:rsid w:val="00913CCC"/>
    <w:rsid w:val="0091592E"/>
    <w:rsid w:val="00964F66"/>
    <w:rsid w:val="00987FC0"/>
    <w:rsid w:val="009B7125"/>
    <w:rsid w:val="009C3F9A"/>
    <w:rsid w:val="009D3421"/>
    <w:rsid w:val="00A03829"/>
    <w:rsid w:val="00A07733"/>
    <w:rsid w:val="00A16DF8"/>
    <w:rsid w:val="00A83A5F"/>
    <w:rsid w:val="00A948F6"/>
    <w:rsid w:val="00AA60B1"/>
    <w:rsid w:val="00AA748E"/>
    <w:rsid w:val="00AD6858"/>
    <w:rsid w:val="00AE2919"/>
    <w:rsid w:val="00AE5719"/>
    <w:rsid w:val="00B035B0"/>
    <w:rsid w:val="00B052C2"/>
    <w:rsid w:val="00B14A95"/>
    <w:rsid w:val="00B16253"/>
    <w:rsid w:val="00B20A2D"/>
    <w:rsid w:val="00B21A2E"/>
    <w:rsid w:val="00B7075C"/>
    <w:rsid w:val="00B834B1"/>
    <w:rsid w:val="00B85C4A"/>
    <w:rsid w:val="00BA2FC8"/>
    <w:rsid w:val="00BB1808"/>
    <w:rsid w:val="00BC5C1B"/>
    <w:rsid w:val="00C00332"/>
    <w:rsid w:val="00C060B6"/>
    <w:rsid w:val="00C12100"/>
    <w:rsid w:val="00C30960"/>
    <w:rsid w:val="00C43D22"/>
    <w:rsid w:val="00C517D2"/>
    <w:rsid w:val="00C762F2"/>
    <w:rsid w:val="00C85E6B"/>
    <w:rsid w:val="00C95C56"/>
    <w:rsid w:val="00CA6308"/>
    <w:rsid w:val="00CB7038"/>
    <w:rsid w:val="00CD213A"/>
    <w:rsid w:val="00CE54BC"/>
    <w:rsid w:val="00CE64D4"/>
    <w:rsid w:val="00CF0CE6"/>
    <w:rsid w:val="00D020F5"/>
    <w:rsid w:val="00D07D8F"/>
    <w:rsid w:val="00D25F22"/>
    <w:rsid w:val="00D321F7"/>
    <w:rsid w:val="00D34CA9"/>
    <w:rsid w:val="00D37FD6"/>
    <w:rsid w:val="00D4040F"/>
    <w:rsid w:val="00D43638"/>
    <w:rsid w:val="00D5231B"/>
    <w:rsid w:val="00D9747E"/>
    <w:rsid w:val="00DB357A"/>
    <w:rsid w:val="00DC3F9F"/>
    <w:rsid w:val="00DD29F4"/>
    <w:rsid w:val="00DE1047"/>
    <w:rsid w:val="00DE43FB"/>
    <w:rsid w:val="00E068C6"/>
    <w:rsid w:val="00E128E8"/>
    <w:rsid w:val="00E13FA4"/>
    <w:rsid w:val="00E145B4"/>
    <w:rsid w:val="00E44F6B"/>
    <w:rsid w:val="00E62AFE"/>
    <w:rsid w:val="00E77390"/>
    <w:rsid w:val="00E77A44"/>
    <w:rsid w:val="00EA0FDA"/>
    <w:rsid w:val="00EA67D5"/>
    <w:rsid w:val="00EB2EF5"/>
    <w:rsid w:val="00EB5FC6"/>
    <w:rsid w:val="00ED00AF"/>
    <w:rsid w:val="00ED53C4"/>
    <w:rsid w:val="00EE17D0"/>
    <w:rsid w:val="00EE338C"/>
    <w:rsid w:val="00F23EC2"/>
    <w:rsid w:val="00F34DFB"/>
    <w:rsid w:val="00F41EA0"/>
    <w:rsid w:val="00F6446D"/>
    <w:rsid w:val="00F773BF"/>
    <w:rsid w:val="00F90B20"/>
    <w:rsid w:val="00FA3374"/>
    <w:rsid w:val="00FA4FA0"/>
    <w:rsid w:val="00FB15CA"/>
    <w:rsid w:val="00FB35DF"/>
    <w:rsid w:val="00FC5CE8"/>
    <w:rsid w:val="00FE3722"/>
    <w:rsid w:val="00FF1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34DFB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34DFB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2">
    <w:name w:val="Body Text Indent 2"/>
    <w:basedOn w:val="a"/>
    <w:link w:val="20"/>
    <w:rsid w:val="00F34DFB"/>
    <w:pPr>
      <w:ind w:firstLine="456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F34DF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Body Text Indent 3"/>
    <w:basedOn w:val="a"/>
    <w:link w:val="30"/>
    <w:rsid w:val="00F34DFB"/>
    <w:pPr>
      <w:ind w:firstLine="39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rsid w:val="00F34DF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Normal (Web)"/>
    <w:basedOn w:val="a"/>
    <w:uiPriority w:val="99"/>
    <w:unhideWhenUsed/>
    <w:rsid w:val="00CA6308"/>
    <w:pPr>
      <w:spacing w:before="100" w:beforeAutospacing="1" w:after="100" w:afterAutospacing="1"/>
    </w:pPr>
  </w:style>
  <w:style w:type="character" w:customStyle="1" w:styleId="rvts7">
    <w:name w:val="rvts7"/>
    <w:rsid w:val="00820528"/>
  </w:style>
  <w:style w:type="paragraph" w:styleId="a4">
    <w:name w:val="header"/>
    <w:basedOn w:val="a"/>
    <w:link w:val="a5"/>
    <w:uiPriority w:val="99"/>
    <w:rsid w:val="000D6305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rsid w:val="000D6305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B21A2E"/>
    <w:pPr>
      <w:ind w:left="720"/>
      <w:contextualSpacing/>
    </w:pPr>
    <w:rPr>
      <w:sz w:val="20"/>
      <w:szCs w:val="20"/>
      <w:lang w:val="ru-RU"/>
    </w:rPr>
  </w:style>
  <w:style w:type="paragraph" w:styleId="a7">
    <w:name w:val="No Spacing"/>
    <w:uiPriority w:val="1"/>
    <w:qFormat/>
    <w:rsid w:val="00B21A2E"/>
    <w:rPr>
      <w:sz w:val="22"/>
      <w:szCs w:val="22"/>
      <w:lang w:val="uk-UA" w:eastAsia="en-US"/>
    </w:rPr>
  </w:style>
  <w:style w:type="character" w:styleId="a8">
    <w:name w:val="Strong"/>
    <w:basedOn w:val="a0"/>
    <w:uiPriority w:val="22"/>
    <w:qFormat/>
    <w:rsid w:val="00855404"/>
    <w:rPr>
      <w:b/>
      <w:bCs/>
    </w:rPr>
  </w:style>
  <w:style w:type="character" w:customStyle="1" w:styleId="apple-converted-space">
    <w:name w:val="apple-converted-space"/>
    <w:basedOn w:val="a0"/>
    <w:rsid w:val="00855404"/>
  </w:style>
  <w:style w:type="character" w:styleId="a9">
    <w:name w:val="Emphasis"/>
    <w:basedOn w:val="a0"/>
    <w:uiPriority w:val="20"/>
    <w:qFormat/>
    <w:rsid w:val="00855404"/>
    <w:rPr>
      <w:i/>
      <w:iCs/>
    </w:rPr>
  </w:style>
  <w:style w:type="character" w:styleId="aa">
    <w:name w:val="Hyperlink"/>
    <w:basedOn w:val="a0"/>
    <w:uiPriority w:val="99"/>
    <w:semiHidden/>
    <w:unhideWhenUsed/>
    <w:rsid w:val="00855404"/>
    <w:rPr>
      <w:color w:val="0000FF"/>
      <w:u w:val="single"/>
    </w:rPr>
  </w:style>
  <w:style w:type="character" w:customStyle="1" w:styleId="articleseperator">
    <w:name w:val="article_seperator"/>
    <w:basedOn w:val="a0"/>
    <w:rsid w:val="00855404"/>
  </w:style>
  <w:style w:type="paragraph" w:customStyle="1" w:styleId="rvps12">
    <w:name w:val="rvps12"/>
    <w:basedOn w:val="a"/>
    <w:rsid w:val="00E77A4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E77A44"/>
  </w:style>
  <w:style w:type="paragraph" w:customStyle="1" w:styleId="rvps2">
    <w:name w:val="rvps2"/>
    <w:basedOn w:val="a"/>
    <w:rsid w:val="00E77A44"/>
    <w:pPr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E77A44"/>
    <w:pPr>
      <w:spacing w:before="100" w:beforeAutospacing="1" w:after="100" w:afterAutospacing="1"/>
    </w:pPr>
    <w:rPr>
      <w:lang w:val="ru-RU"/>
    </w:rPr>
  </w:style>
  <w:style w:type="paragraph" w:customStyle="1" w:styleId="rvps8">
    <w:name w:val="rvps8"/>
    <w:basedOn w:val="a"/>
    <w:rsid w:val="00E77A44"/>
    <w:pPr>
      <w:spacing w:before="100" w:beforeAutospacing="1" w:after="100" w:afterAutospacing="1"/>
    </w:pPr>
    <w:rPr>
      <w:lang w:val="ru-RU"/>
    </w:rPr>
  </w:style>
  <w:style w:type="character" w:customStyle="1" w:styleId="rvts82">
    <w:name w:val="rvts82"/>
    <w:basedOn w:val="a0"/>
    <w:rsid w:val="00E77A44"/>
  </w:style>
  <w:style w:type="character" w:customStyle="1" w:styleId="rvts46">
    <w:name w:val="rvts46"/>
    <w:basedOn w:val="a0"/>
    <w:rsid w:val="00E77A44"/>
  </w:style>
  <w:style w:type="paragraph" w:styleId="ab">
    <w:name w:val="footer"/>
    <w:basedOn w:val="a"/>
    <w:link w:val="ac"/>
    <w:uiPriority w:val="99"/>
    <w:semiHidden/>
    <w:unhideWhenUsed/>
    <w:rsid w:val="00003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03D28"/>
    <w:rPr>
      <w:rFonts w:ascii="Times New Roman" w:eastAsia="Times New Roman" w:hAnsi="Times New Roman"/>
      <w:sz w:val="24"/>
      <w:szCs w:val="24"/>
      <w:lang w:val="uk-UA"/>
    </w:rPr>
  </w:style>
  <w:style w:type="paragraph" w:styleId="ad">
    <w:name w:val="Balloon Text"/>
    <w:basedOn w:val="a"/>
    <w:link w:val="ae"/>
    <w:uiPriority w:val="99"/>
    <w:semiHidden/>
    <w:unhideWhenUsed/>
    <w:rsid w:val="009D342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D3421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0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8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8773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128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7447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4178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87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1058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71451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214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DAE0F-5057-4F91-ADCF-F958AA81B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1334</Words>
  <Characters>7604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30</cp:revision>
  <cp:lastPrinted>2016-11-28T05:56:00Z</cp:lastPrinted>
  <dcterms:created xsi:type="dcterms:W3CDTF">2016-11-25T10:15:00Z</dcterms:created>
  <dcterms:modified xsi:type="dcterms:W3CDTF">2016-11-29T10:08:00Z</dcterms:modified>
</cp:coreProperties>
</file>